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601" w:right="231"/>
        <w:jc w:val="center"/>
        <w:rPr>
          <w:rFonts w:ascii="Times New Roman Regular" w:hAnsi="Times New Roman Regular" w:eastAsia="华文中宋" w:cs="Times New Roman Regular"/>
          <w:color w:val="000000"/>
          <w:sz w:val="72"/>
          <w:szCs w:val="72"/>
        </w:rPr>
      </w:pPr>
    </w:p>
    <w:p>
      <w:pPr>
        <w:spacing w:line="360" w:lineRule="auto"/>
        <w:ind w:left="601" w:right="231"/>
        <w:jc w:val="center"/>
        <w:rPr>
          <w:rFonts w:ascii="Times New Roman Regular" w:hAnsi="Times New Roman Regular" w:eastAsia="黑体" w:cs="Times New Roman Regular"/>
          <w:sz w:val="40"/>
          <w:szCs w:val="22"/>
        </w:rPr>
      </w:pPr>
      <w:bookmarkStart w:id="0" w:name="_Hlk154736294"/>
      <w:bookmarkEnd w:id="0"/>
      <w:r>
        <w:rPr>
          <w:rFonts w:ascii="Times New Roman Regular" w:hAnsi="Times New Roman Regular" w:eastAsia="华文中宋" w:cs="Times New Roman Regular"/>
          <w:color w:val="000000"/>
          <w:sz w:val="72"/>
          <w:szCs w:val="72"/>
        </w:rPr>
        <w:drawing>
          <wp:inline distT="0" distB="0" distL="0" distR="0">
            <wp:extent cx="3600450" cy="419100"/>
            <wp:effectExtent l="0" t="0" r="0" b="0"/>
            <wp:docPr id="2" name="图片 2" descr="上海工程技术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上海工程技术大学"/>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600450" cy="419100"/>
                    </a:xfrm>
                    <a:prstGeom prst="rect">
                      <a:avLst/>
                    </a:prstGeom>
                    <a:noFill/>
                    <a:ln>
                      <a:noFill/>
                    </a:ln>
                  </pic:spPr>
                </pic:pic>
              </a:graphicData>
            </a:graphic>
          </wp:inline>
        </w:drawing>
      </w:r>
    </w:p>
    <w:p>
      <w:pPr>
        <w:spacing w:line="360" w:lineRule="auto"/>
        <w:ind w:left="595" w:right="231"/>
        <w:jc w:val="center"/>
        <w:rPr>
          <w:rFonts w:ascii="Times New Roman Regular" w:hAnsi="Times New Roman Regular" w:eastAsia="微软雅黑" w:cs="Times New Roman Regular"/>
          <w:sz w:val="36"/>
          <w:szCs w:val="22"/>
        </w:rPr>
      </w:pPr>
    </w:p>
    <w:p>
      <w:pPr>
        <w:spacing w:line="360" w:lineRule="auto"/>
        <w:ind w:left="595" w:right="231"/>
        <w:jc w:val="center"/>
        <w:rPr>
          <w:rFonts w:ascii="Times New Roman Regular" w:hAnsi="Times New Roman Regular" w:cs="Times New Roman Regular"/>
        </w:rPr>
      </w:pPr>
      <w:r>
        <w:rPr>
          <w:rFonts w:ascii="Times New Roman Regular" w:hAnsi="Times New Roman Regular" w:eastAsia="微软雅黑" w:cs="Times New Roman Regular"/>
          <w:sz w:val="36"/>
          <w:szCs w:val="22"/>
        </w:rPr>
        <w:t>物流管理专业</w:t>
      </w:r>
    </w:p>
    <w:p>
      <w:pPr>
        <w:spacing w:line="360" w:lineRule="auto"/>
        <w:ind w:left="601" w:right="231"/>
        <w:jc w:val="center"/>
        <w:rPr>
          <w:rFonts w:ascii="Times New Roman Regular" w:hAnsi="Times New Roman Regular" w:eastAsia="黑体" w:cs="Times New Roman Regular"/>
          <w:sz w:val="40"/>
          <w:szCs w:val="22"/>
        </w:rPr>
      </w:pPr>
      <w:r>
        <w:rPr>
          <w:rFonts w:ascii="Times New Roman Regular" w:hAnsi="Times New Roman Regular" w:eastAsia="黑体" w:cs="Times New Roman Regular"/>
          <w:sz w:val="40"/>
          <w:szCs w:val="22"/>
        </w:rPr>
        <w:t>2022-2023学年本科教学质量报告</w:t>
      </w:r>
    </w:p>
    <w:p>
      <w:pPr>
        <w:spacing w:line="360" w:lineRule="auto"/>
        <w:ind w:left="601" w:right="231"/>
        <w:jc w:val="center"/>
        <w:rPr>
          <w:rFonts w:ascii="Times New Roman Regular" w:hAnsi="Times New Roman Regular" w:eastAsia="黑体" w:cs="Times New Roman Regular"/>
          <w:sz w:val="20"/>
          <w:szCs w:val="20"/>
        </w:rPr>
      </w:pPr>
    </w:p>
    <w:p>
      <w:pPr>
        <w:spacing w:line="360" w:lineRule="auto"/>
        <w:ind w:left="601" w:right="232"/>
        <w:jc w:val="center"/>
        <w:rPr>
          <w:rFonts w:ascii="Times New Roman Regular" w:hAnsi="Times New Roman Regular" w:cs="Times New Roman Regular"/>
        </w:rPr>
      </w:pPr>
      <w:r>
        <w:rPr>
          <w:rFonts w:ascii="Times New Roman Regular" w:hAnsi="Times New Roman Regular" w:eastAsia="微软雅黑" w:cs="Times New Roman Regular"/>
          <w:color w:val="333333"/>
          <w:sz w:val="15"/>
          <w:szCs w:val="15"/>
        </w:rPr>
        <w:drawing>
          <wp:inline distT="0" distB="0" distL="0" distR="0">
            <wp:extent cx="1800225" cy="1800225"/>
            <wp:effectExtent l="0" t="0" r="9525" b="9525"/>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00225" cy="1800225"/>
                    </a:xfrm>
                    <a:prstGeom prst="rect">
                      <a:avLst/>
                    </a:prstGeom>
                    <a:noFill/>
                    <a:ln>
                      <a:noFill/>
                    </a:ln>
                  </pic:spPr>
                </pic:pic>
              </a:graphicData>
            </a:graphic>
          </wp:inline>
        </w:drawing>
      </w:r>
    </w:p>
    <w:p>
      <w:pPr>
        <w:pStyle w:val="24"/>
        <w:spacing w:before="98" w:beforeAutospacing="0" w:after="0" w:afterAutospacing="0" w:line="360" w:lineRule="auto"/>
        <w:ind w:left="597" w:right="231"/>
        <w:jc w:val="center"/>
        <w:rPr>
          <w:rFonts w:ascii="Times New Roman Regular" w:hAnsi="Times New Roman Regular" w:cs="Times New Roman Regular"/>
        </w:rPr>
      </w:pPr>
    </w:p>
    <w:tbl>
      <w:tblPr>
        <w:tblStyle w:val="17"/>
        <w:tblW w:w="0" w:type="auto"/>
        <w:jc w:val="center"/>
        <w:tblLayout w:type="fixed"/>
        <w:tblCellMar>
          <w:top w:w="0" w:type="dxa"/>
          <w:left w:w="0" w:type="dxa"/>
          <w:bottom w:w="0" w:type="dxa"/>
          <w:right w:w="0" w:type="dxa"/>
        </w:tblCellMar>
      </w:tblPr>
      <w:tblGrid>
        <w:gridCol w:w="6880"/>
      </w:tblGrid>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360" w:lineRule="auto"/>
              <w:ind w:firstLine="900" w:firstLineChars="300"/>
              <w:jc w:val="center"/>
              <w:rPr>
                <w:rFonts w:ascii="Times New Roman Regular" w:hAnsi="Times New Roman Regular" w:eastAsia="微软雅黑" w:cs="Times New Roman Regular"/>
                <w:color w:val="333333"/>
                <w:sz w:val="15"/>
                <w:szCs w:val="15"/>
              </w:rPr>
            </w:pPr>
            <w:r>
              <w:rPr>
                <w:rFonts w:ascii="Times New Roman Regular" w:hAnsi="Times New Roman Regular" w:eastAsia="楷体" w:cs="Times New Roman Regular"/>
                <w:color w:val="000000"/>
                <w:sz w:val="30"/>
                <w:szCs w:val="30"/>
              </w:rPr>
              <w:t>专业代码：</w:t>
            </w:r>
            <w:r>
              <w:rPr>
                <w:rFonts w:ascii="Times New Roman Regular" w:hAnsi="Times New Roman Regular" w:cs="Times New Roman Regular"/>
                <w:i/>
                <w:iCs/>
                <w:color w:val="000000"/>
                <w:sz w:val="30"/>
                <w:szCs w:val="30"/>
                <w:u w:val="single"/>
              </w:rPr>
              <w:t xml:space="preserve"> </w:t>
            </w:r>
            <w:r>
              <w:rPr>
                <w:rFonts w:ascii="Times New Roman Regular" w:hAnsi="Times New Roman Regular" w:cs="Times New Roman Regular"/>
                <w:color w:val="000000"/>
                <w:sz w:val="30"/>
                <w:szCs w:val="30"/>
                <w:u w:val="single"/>
              </w:rPr>
              <w:t xml:space="preserve">120601 </w:t>
            </w:r>
          </w:p>
        </w:tc>
      </w:tr>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360" w:lineRule="auto"/>
              <w:ind w:firstLine="900"/>
              <w:jc w:val="center"/>
              <w:rPr>
                <w:rFonts w:ascii="Times New Roman Regular" w:hAnsi="Times New Roman Regular" w:eastAsia="微软雅黑" w:cs="Times New Roman Regular"/>
                <w:color w:val="333333"/>
                <w:sz w:val="15"/>
                <w:szCs w:val="15"/>
              </w:rPr>
            </w:pPr>
            <w:r>
              <w:rPr>
                <w:rFonts w:ascii="Times New Roman Regular" w:hAnsi="Times New Roman Regular" w:eastAsia="楷体" w:cs="Times New Roman Regular"/>
                <w:color w:val="000000"/>
                <w:sz w:val="30"/>
                <w:szCs w:val="30"/>
              </w:rPr>
              <w:t>专业负责人：</w:t>
            </w:r>
            <w:r>
              <w:rPr>
                <w:rFonts w:ascii="Times New Roman Regular" w:hAnsi="Times New Roman Regular" w:eastAsia="楷体" w:cs="Times New Roman Regular"/>
                <w:color w:val="000000"/>
                <w:sz w:val="30"/>
                <w:szCs w:val="30"/>
                <w:u w:val="single"/>
              </w:rPr>
              <w:t xml:space="preserve">   </w:t>
            </w:r>
            <w:r>
              <w:rPr>
                <w:rFonts w:ascii="Times New Roman Regular" w:hAnsi="Times New Roman Regular" w:eastAsia="微软雅黑" w:cs="Times New Roman Regular"/>
                <w:color w:val="000000"/>
                <w:sz w:val="30"/>
                <w:szCs w:val="30"/>
                <w:u w:val="single"/>
              </w:rPr>
              <w:t>刘峥   （签字）</w:t>
            </w:r>
          </w:p>
        </w:tc>
      </w:tr>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360" w:lineRule="auto"/>
              <w:ind w:firstLine="900"/>
              <w:jc w:val="center"/>
              <w:rPr>
                <w:rFonts w:ascii="Times New Roman Regular" w:hAnsi="Times New Roman Regular" w:eastAsia="微软雅黑" w:cs="Times New Roman Regular"/>
                <w:color w:val="333333"/>
                <w:sz w:val="15"/>
                <w:szCs w:val="15"/>
              </w:rPr>
            </w:pPr>
            <w:r>
              <w:rPr>
                <w:rFonts w:ascii="Times New Roman Regular" w:hAnsi="Times New Roman Regular" w:eastAsia="楷体" w:cs="Times New Roman Regular"/>
                <w:color w:val="000000"/>
                <w:sz w:val="30"/>
                <w:szCs w:val="30"/>
              </w:rPr>
              <w:t>教学院长：</w:t>
            </w:r>
            <w:r>
              <w:rPr>
                <w:rFonts w:ascii="Times New Roman Regular" w:hAnsi="Times New Roman Regular" w:eastAsia="楷体" w:cs="Times New Roman Regular"/>
                <w:color w:val="000000"/>
                <w:sz w:val="30"/>
                <w:szCs w:val="30"/>
                <w:u w:val="single"/>
              </w:rPr>
              <w:t xml:space="preserve">  </w:t>
            </w:r>
            <w:r>
              <w:rPr>
                <w:rFonts w:ascii="Times New Roman Regular" w:hAnsi="Times New Roman Regular" w:eastAsia="微软雅黑" w:cs="Times New Roman Regular"/>
                <w:color w:val="000000"/>
                <w:sz w:val="30"/>
                <w:szCs w:val="30"/>
                <w:u w:val="single"/>
              </w:rPr>
              <w:t xml:space="preserve"> 罗娟   （签字）</w:t>
            </w:r>
          </w:p>
        </w:tc>
      </w:tr>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360" w:lineRule="auto"/>
              <w:ind w:firstLine="900"/>
              <w:jc w:val="center"/>
              <w:rPr>
                <w:rFonts w:ascii="Times New Roman Regular" w:hAnsi="Times New Roman Regular" w:eastAsia="微软雅黑" w:cs="Times New Roman Regular"/>
                <w:color w:val="333333"/>
                <w:sz w:val="15"/>
                <w:szCs w:val="15"/>
              </w:rPr>
            </w:pPr>
            <w:r>
              <w:rPr>
                <w:rFonts w:ascii="Times New Roman Regular" w:hAnsi="Times New Roman Regular" w:eastAsia="楷体" w:cs="Times New Roman Regular"/>
                <w:color w:val="000000"/>
                <w:sz w:val="30"/>
                <w:szCs w:val="30"/>
              </w:rPr>
              <w:t>学院院长：</w:t>
            </w:r>
            <w:r>
              <w:rPr>
                <w:rFonts w:ascii="Times New Roman Regular" w:hAnsi="Times New Roman Regular" w:eastAsia="楷体" w:cs="Times New Roman Regular"/>
                <w:color w:val="000000"/>
                <w:sz w:val="30"/>
                <w:szCs w:val="30"/>
                <w:u w:val="single"/>
              </w:rPr>
              <w:t xml:space="preserve">   </w:t>
            </w:r>
            <w:r>
              <w:rPr>
                <w:rFonts w:ascii="Times New Roman Regular" w:hAnsi="Times New Roman Regular" w:eastAsia="微软雅黑" w:cs="Times New Roman Regular"/>
                <w:color w:val="000000"/>
                <w:sz w:val="30"/>
                <w:szCs w:val="30"/>
                <w:u w:val="single"/>
              </w:rPr>
              <w:t>胡斌   （签字）</w:t>
            </w:r>
          </w:p>
        </w:tc>
      </w:tr>
      <w:tr>
        <w:tblPrEx>
          <w:tblCellMar>
            <w:top w:w="0" w:type="dxa"/>
            <w:left w:w="0" w:type="dxa"/>
            <w:bottom w:w="0" w:type="dxa"/>
            <w:right w:w="0" w:type="dxa"/>
          </w:tblCellMar>
        </w:tblPrEx>
        <w:trPr>
          <w:trHeight w:val="481"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360" w:lineRule="auto"/>
              <w:ind w:firstLine="900"/>
              <w:jc w:val="center"/>
              <w:rPr>
                <w:rFonts w:ascii="Times New Roman Regular" w:hAnsi="Times New Roman Regular" w:eastAsia="微软雅黑" w:cs="Times New Roman Regular"/>
                <w:color w:val="333333"/>
                <w:sz w:val="15"/>
                <w:szCs w:val="15"/>
              </w:rPr>
            </w:pPr>
            <w:r>
              <w:rPr>
                <w:rFonts w:ascii="Times New Roman Regular" w:hAnsi="Times New Roman Regular" w:eastAsia="楷体" w:cs="Times New Roman Regular"/>
                <w:color w:val="000000"/>
                <w:sz w:val="30"/>
                <w:szCs w:val="30"/>
              </w:rPr>
              <w:t>学院名称：</w:t>
            </w:r>
            <w:r>
              <w:rPr>
                <w:rFonts w:ascii="Times New Roman Regular" w:hAnsi="Times New Roman Regular" w:eastAsia="微软雅黑" w:cs="Times New Roman Regular"/>
                <w:color w:val="000000"/>
                <w:sz w:val="30"/>
                <w:szCs w:val="30"/>
                <w:u w:val="single"/>
              </w:rPr>
              <w:t>    管理学院   （盖章）</w:t>
            </w:r>
          </w:p>
        </w:tc>
      </w:tr>
    </w:tbl>
    <w:p>
      <w:pPr>
        <w:pStyle w:val="24"/>
        <w:spacing w:before="98" w:beforeAutospacing="0" w:after="0" w:afterAutospacing="0" w:line="360" w:lineRule="auto"/>
        <w:ind w:left="597" w:right="231"/>
        <w:jc w:val="center"/>
        <w:rPr>
          <w:rFonts w:ascii="Times New Roman Regular" w:hAnsi="Times New Roman Regular" w:cs="Times New Roman Regular"/>
        </w:rPr>
      </w:pPr>
    </w:p>
    <w:p>
      <w:pPr>
        <w:pStyle w:val="24"/>
        <w:spacing w:before="98" w:beforeAutospacing="0" w:after="0" w:afterAutospacing="0" w:line="360" w:lineRule="auto"/>
        <w:ind w:left="597" w:right="231"/>
        <w:jc w:val="center"/>
        <w:rPr>
          <w:rFonts w:ascii="Times New Roman Regular" w:hAnsi="Times New Roman Regular" w:cs="Times New Roman Regular"/>
        </w:rPr>
      </w:pPr>
    </w:p>
    <w:p>
      <w:pPr>
        <w:pStyle w:val="24"/>
        <w:spacing w:before="98" w:beforeAutospacing="0" w:after="0" w:afterAutospacing="0" w:line="360" w:lineRule="auto"/>
        <w:ind w:left="597" w:right="231"/>
        <w:jc w:val="center"/>
        <w:rPr>
          <w:rFonts w:ascii="Times New Roman Regular" w:hAnsi="Times New Roman Regular" w:cs="Times New Roman Regular"/>
        </w:rPr>
      </w:pPr>
    </w:p>
    <w:p>
      <w:pPr>
        <w:pStyle w:val="24"/>
        <w:spacing w:before="98" w:beforeAutospacing="0" w:after="0" w:afterAutospacing="0" w:line="360" w:lineRule="auto"/>
        <w:ind w:left="597" w:right="231"/>
        <w:jc w:val="center"/>
        <w:rPr>
          <w:rFonts w:ascii="Times New Roman Regular" w:hAnsi="Times New Roman Regular" w:cs="Times New Roman Regular"/>
        </w:rPr>
      </w:pPr>
      <w:r>
        <w:rPr>
          <w:rFonts w:ascii="Times New Roman Regular" w:hAnsi="Times New Roman Regular" w:cs="Times New Roman Regular"/>
        </w:rPr>
        <w:t>二〇二四年一月</w:t>
      </w:r>
    </w:p>
    <w:p>
      <w:pPr>
        <w:spacing w:line="360" w:lineRule="auto"/>
        <w:rPr>
          <w:rFonts w:ascii="Times New Roman Regular" w:hAnsi="Times New Roman Regular" w:cs="Times New Roman Regular"/>
        </w:rPr>
      </w:pPr>
      <w:r>
        <w:rPr>
          <w:rFonts w:ascii="Times New Roman Regular" w:hAnsi="Times New Roman Regular" w:cs="Times New Roman Regular"/>
        </w:rPr>
        <w:br w:type="page"/>
      </w:r>
    </w:p>
    <w:p>
      <w:pPr>
        <w:spacing w:line="360" w:lineRule="auto"/>
        <w:jc w:val="center"/>
        <w:rPr>
          <w:rFonts w:ascii="Times New Roman Regular" w:hAnsi="Times New Roman Regular" w:eastAsia="黑体" w:cs="Times New Roman Regular"/>
          <w:sz w:val="32"/>
          <w:szCs w:val="32"/>
        </w:rPr>
      </w:pPr>
      <w:r>
        <w:rPr>
          <w:rFonts w:ascii="Times New Roman Regular" w:hAnsi="Times New Roman Regular" w:eastAsia="黑体" w:cs="Times New Roman Regular"/>
          <w:sz w:val="32"/>
          <w:szCs w:val="32"/>
          <w:lang w:val="zh-CN"/>
        </w:rPr>
        <w:t>目录</w:t>
      </w:r>
    </w:p>
    <w:p>
      <w:pPr>
        <w:pStyle w:val="15"/>
        <w:tabs>
          <w:tab w:val="right" w:pos="3200"/>
          <w:tab w:val="right" w:leader="dot" w:pos="8306"/>
        </w:tabs>
        <w:spacing w:line="360" w:lineRule="auto"/>
        <w:ind w:left="480"/>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TOC \o "1-3" \h \z \u </w:instrText>
      </w:r>
      <w:r>
        <w:rPr>
          <w:rFonts w:ascii="Times New Roman Regular" w:hAnsi="Times New Roman Regular" w:cs="Times New Roman Regular"/>
        </w:rPr>
        <w:fldChar w:fldCharType="separate"/>
      </w:r>
    </w:p>
    <w:p>
      <w:pPr>
        <w:pStyle w:val="15"/>
        <w:tabs>
          <w:tab w:val="right" w:leader="dot" w:pos="8306"/>
        </w:tabs>
        <w:spacing w:line="360" w:lineRule="auto"/>
        <w:ind w:left="480"/>
        <w:rPr>
          <w:rFonts w:ascii="Times New Roman Regular" w:hAnsi="Times New Roman Regular" w:cs="Times New Roman Regular"/>
        </w:rPr>
      </w:pPr>
      <w:r>
        <w:fldChar w:fldCharType="begin"/>
      </w:r>
      <w:r>
        <w:instrText xml:space="preserve"> HYPERLINK \l "_Toc1048225959" </w:instrText>
      </w:r>
      <w:r>
        <w:fldChar w:fldCharType="separate"/>
      </w:r>
      <w:r>
        <w:rPr>
          <w:rFonts w:ascii="Times New Roman Regular" w:hAnsi="Times New Roman Regular" w:cs="Times New Roman Regular"/>
          <w:szCs w:val="28"/>
        </w:rPr>
        <w:t>1.专业概况</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_Toc1048225959 \h </w:instrText>
      </w:r>
      <w:r>
        <w:rPr>
          <w:rFonts w:ascii="Times New Roman Regular" w:hAnsi="Times New Roman Regular" w:cs="Times New Roman Regular"/>
        </w:rPr>
        <w:fldChar w:fldCharType="separate"/>
      </w:r>
      <w:r>
        <w:rPr>
          <w:rFonts w:ascii="Times New Roman Regular" w:hAnsi="Times New Roman Regular" w:cs="Times New Roman Regular"/>
        </w:rPr>
        <w:t>5</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"_Toc1725336572" </w:instrText>
      </w:r>
      <w:r>
        <w:fldChar w:fldCharType="separate"/>
      </w:r>
      <w:r>
        <w:rPr>
          <w:rFonts w:ascii="Times New Roman Regular" w:hAnsi="Times New Roman Regular" w:cs="Times New Roman Regular"/>
          <w:bCs/>
        </w:rPr>
        <w:t>1.1专业设置情况</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_Toc1725336572 \h </w:instrText>
      </w:r>
      <w:r>
        <w:rPr>
          <w:rFonts w:ascii="Times New Roman Regular" w:hAnsi="Times New Roman Regular" w:cs="Times New Roman Regular"/>
        </w:rPr>
        <w:fldChar w:fldCharType="separate"/>
      </w:r>
      <w:r>
        <w:rPr>
          <w:rFonts w:ascii="Times New Roman Regular" w:hAnsi="Times New Roman Regular" w:cs="Times New Roman Regular"/>
        </w:rPr>
        <w:t>6</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"_Toc260080163" </w:instrText>
      </w:r>
      <w:r>
        <w:fldChar w:fldCharType="separate"/>
      </w:r>
      <w:r>
        <w:rPr>
          <w:rFonts w:ascii="Times New Roman Regular" w:hAnsi="Times New Roman Regular" w:cs="Times New Roman Regular"/>
          <w:bCs/>
        </w:rPr>
        <w:t>1.2人才培养目标</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_Toc260080163 \h </w:instrText>
      </w:r>
      <w:r>
        <w:rPr>
          <w:rFonts w:ascii="Times New Roman Regular" w:hAnsi="Times New Roman Regular" w:cs="Times New Roman Regular"/>
        </w:rPr>
        <w:fldChar w:fldCharType="separate"/>
      </w:r>
      <w:r>
        <w:rPr>
          <w:rFonts w:ascii="Times New Roman Regular" w:hAnsi="Times New Roman Regular" w:cs="Times New Roman Regular"/>
        </w:rPr>
        <w:t>7</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15"/>
        <w:tabs>
          <w:tab w:val="right" w:leader="dot" w:pos="8306"/>
        </w:tabs>
        <w:spacing w:line="360" w:lineRule="auto"/>
        <w:ind w:left="480"/>
        <w:rPr>
          <w:rFonts w:ascii="Times New Roman Regular" w:hAnsi="Times New Roman Regular" w:cs="Times New Roman Regular"/>
        </w:rPr>
      </w:pPr>
      <w:r>
        <w:fldChar w:fldCharType="begin"/>
      </w:r>
      <w:r>
        <w:instrText xml:space="preserve"> HYPERLINK \l "_Toc1038077896" </w:instrText>
      </w:r>
      <w:r>
        <w:fldChar w:fldCharType="separate"/>
      </w:r>
      <w:r>
        <w:rPr>
          <w:rFonts w:ascii="Times New Roman Regular" w:hAnsi="Times New Roman Regular" w:cs="Times New Roman Regular"/>
          <w:szCs w:val="28"/>
        </w:rPr>
        <w:t>2.毕业要求</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_Toc1038077896 \h </w:instrText>
      </w:r>
      <w:r>
        <w:rPr>
          <w:rFonts w:ascii="Times New Roman Regular" w:hAnsi="Times New Roman Regular" w:cs="Times New Roman Regular"/>
        </w:rPr>
        <w:fldChar w:fldCharType="separate"/>
      </w:r>
      <w:r>
        <w:rPr>
          <w:rFonts w:ascii="Times New Roman Regular" w:hAnsi="Times New Roman Regular" w:cs="Times New Roman Regular"/>
        </w:rPr>
        <w:t>8</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15"/>
        <w:tabs>
          <w:tab w:val="right" w:leader="dot" w:pos="8306"/>
        </w:tabs>
        <w:spacing w:line="360" w:lineRule="auto"/>
        <w:ind w:left="480"/>
        <w:rPr>
          <w:rFonts w:ascii="Times New Roman Regular" w:hAnsi="Times New Roman Regular" w:cs="Times New Roman Regular"/>
        </w:rPr>
      </w:pPr>
      <w:r>
        <w:fldChar w:fldCharType="begin"/>
      </w:r>
      <w:r>
        <w:instrText xml:space="preserve"> HYPERLINK \l "_Toc818049844" </w:instrText>
      </w:r>
      <w:r>
        <w:fldChar w:fldCharType="separate"/>
      </w:r>
      <w:r>
        <w:rPr>
          <w:rFonts w:ascii="Times New Roman Regular" w:hAnsi="Times New Roman Regular" w:cs="Times New Roman Regular"/>
          <w:szCs w:val="28"/>
        </w:rPr>
        <w:t>3.培养情况</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_Toc818049844 \h </w:instrText>
      </w:r>
      <w:r>
        <w:rPr>
          <w:rFonts w:ascii="Times New Roman Regular" w:hAnsi="Times New Roman Regular" w:cs="Times New Roman Regular"/>
        </w:rPr>
        <w:fldChar w:fldCharType="separate"/>
      </w:r>
      <w:r>
        <w:rPr>
          <w:rFonts w:ascii="Times New Roman Regular" w:hAnsi="Times New Roman Regular" w:cs="Times New Roman Regular"/>
        </w:rPr>
        <w:t>9</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"_Toc773420014" </w:instrText>
      </w:r>
      <w:r>
        <w:fldChar w:fldCharType="separate"/>
      </w:r>
      <w:r>
        <w:rPr>
          <w:rFonts w:ascii="Times New Roman Regular" w:hAnsi="Times New Roman Regular" w:cs="Times New Roman Regular"/>
          <w:bCs/>
        </w:rPr>
        <w:t>3.1专业建设情况</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_Toc773420014 \h </w:instrText>
      </w:r>
      <w:r>
        <w:rPr>
          <w:rFonts w:ascii="Times New Roman Regular" w:hAnsi="Times New Roman Regular" w:cs="Times New Roman Regular"/>
        </w:rPr>
        <w:fldChar w:fldCharType="separate"/>
      </w:r>
      <w:r>
        <w:rPr>
          <w:rFonts w:ascii="Times New Roman Regular" w:hAnsi="Times New Roman Regular" w:cs="Times New Roman Regular"/>
        </w:rPr>
        <w:t>9</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"_Toc151660007" </w:instrText>
      </w:r>
      <w:r>
        <w:fldChar w:fldCharType="separate"/>
      </w:r>
      <w:r>
        <w:rPr>
          <w:rFonts w:ascii="Times New Roman Regular" w:hAnsi="Times New Roman Regular" w:cs="Times New Roman Regular"/>
          <w:bCs/>
        </w:rPr>
        <w:t>3.2专业教学计划</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_Toc151660007 \h </w:instrText>
      </w:r>
      <w:r>
        <w:rPr>
          <w:rFonts w:ascii="Times New Roman Regular" w:hAnsi="Times New Roman Regular" w:cs="Times New Roman Regular"/>
        </w:rPr>
        <w:fldChar w:fldCharType="separate"/>
      </w:r>
      <w:r>
        <w:rPr>
          <w:rFonts w:ascii="Times New Roman Regular" w:hAnsi="Times New Roman Regular" w:cs="Times New Roman Regular"/>
        </w:rPr>
        <w:t>11</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"_Toc2034132307" </w:instrText>
      </w:r>
      <w:r>
        <w:fldChar w:fldCharType="separate"/>
      </w:r>
      <w:r>
        <w:rPr>
          <w:rFonts w:ascii="Times New Roman Regular" w:hAnsi="Times New Roman Regular" w:cs="Times New Roman Regular"/>
          <w:bCs/>
        </w:rPr>
        <w:t>3.3专业课开设情况</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_Toc2034132307 \h </w:instrText>
      </w:r>
      <w:r>
        <w:rPr>
          <w:rFonts w:ascii="Times New Roman Regular" w:hAnsi="Times New Roman Regular" w:cs="Times New Roman Regular"/>
        </w:rPr>
        <w:fldChar w:fldCharType="separate"/>
      </w:r>
      <w:r>
        <w:rPr>
          <w:rFonts w:ascii="Times New Roman Regular" w:hAnsi="Times New Roman Regular" w:cs="Times New Roman Regular"/>
        </w:rPr>
        <w:t>11</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"_Toc1869507156" </w:instrText>
      </w:r>
      <w:r>
        <w:fldChar w:fldCharType="separate"/>
      </w:r>
      <w:r>
        <w:rPr>
          <w:rFonts w:ascii="Times New Roman Regular" w:hAnsi="Times New Roman Regular" w:cs="Times New Roman Regular"/>
          <w:bCs/>
        </w:rPr>
        <w:t>3.4专业课课堂规模</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_Toc1869507156 \h </w:instrText>
      </w:r>
      <w:r>
        <w:rPr>
          <w:rFonts w:ascii="Times New Roman Regular" w:hAnsi="Times New Roman Regular" w:cs="Times New Roman Regular"/>
        </w:rPr>
        <w:fldChar w:fldCharType="separate"/>
      </w:r>
      <w:r>
        <w:rPr>
          <w:rFonts w:ascii="Times New Roman Regular" w:hAnsi="Times New Roman Regular" w:cs="Times New Roman Regular"/>
        </w:rPr>
        <w:t>12</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"_Toc973531635" </w:instrText>
      </w:r>
      <w:r>
        <w:fldChar w:fldCharType="separate"/>
      </w:r>
      <w:r>
        <w:rPr>
          <w:rFonts w:ascii="Times New Roman Regular" w:hAnsi="Times New Roman Regular" w:cs="Times New Roman Regular"/>
          <w:bCs/>
        </w:rPr>
        <w:t>3.5专业的核心课程情况</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_Toc973531635 \h </w:instrText>
      </w:r>
      <w:r>
        <w:rPr>
          <w:rFonts w:ascii="Times New Roman Regular" w:hAnsi="Times New Roman Regular" w:cs="Times New Roman Regular"/>
        </w:rPr>
        <w:fldChar w:fldCharType="separate"/>
      </w:r>
      <w:r>
        <w:rPr>
          <w:rFonts w:ascii="Times New Roman Regular" w:hAnsi="Times New Roman Regular" w:cs="Times New Roman Regular"/>
        </w:rPr>
        <w:t>12</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"_Toc468282952" </w:instrText>
      </w:r>
      <w:r>
        <w:fldChar w:fldCharType="separate"/>
      </w:r>
      <w:r>
        <w:rPr>
          <w:rFonts w:ascii="Times New Roman Regular" w:hAnsi="Times New Roman Regular" w:cs="Times New Roman Regular"/>
          <w:bCs/>
        </w:rPr>
        <w:t>3.6实验教学情况</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_Toc468282952 \h </w:instrText>
      </w:r>
      <w:r>
        <w:rPr>
          <w:rFonts w:ascii="Times New Roman Regular" w:hAnsi="Times New Roman Regular" w:cs="Times New Roman Regular"/>
        </w:rPr>
        <w:fldChar w:fldCharType="separate"/>
      </w:r>
      <w:r>
        <w:rPr>
          <w:rFonts w:ascii="Times New Roman Regular" w:hAnsi="Times New Roman Regular" w:cs="Times New Roman Regular"/>
        </w:rPr>
        <w:t>13</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"_Toc2051491656" </w:instrText>
      </w:r>
      <w:r>
        <w:fldChar w:fldCharType="separate"/>
      </w:r>
      <w:r>
        <w:rPr>
          <w:rFonts w:ascii="Times New Roman Regular" w:hAnsi="Times New Roman Regular" w:cs="Times New Roman Regular"/>
          <w:bCs/>
        </w:rPr>
        <w:t>3.7实践教学情况</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_Toc2051491656 \h </w:instrText>
      </w:r>
      <w:r>
        <w:rPr>
          <w:rFonts w:ascii="Times New Roman Regular" w:hAnsi="Times New Roman Regular" w:cs="Times New Roman Regular"/>
        </w:rPr>
        <w:fldChar w:fldCharType="separate"/>
      </w:r>
      <w:r>
        <w:rPr>
          <w:rFonts w:ascii="Times New Roman Regular" w:hAnsi="Times New Roman Regular" w:cs="Times New Roman Regular"/>
        </w:rPr>
        <w:t>13</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"_Toc1570309807" </w:instrText>
      </w:r>
      <w:r>
        <w:fldChar w:fldCharType="separate"/>
      </w:r>
      <w:r>
        <w:rPr>
          <w:rFonts w:ascii="Times New Roman Regular" w:hAnsi="Times New Roman Regular" w:cs="Times New Roman Regular"/>
          <w:bCs/>
        </w:rPr>
        <w:t>3.8创新创业教育</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_Toc1570309807 \h </w:instrText>
      </w:r>
      <w:r>
        <w:rPr>
          <w:rFonts w:ascii="Times New Roman Regular" w:hAnsi="Times New Roman Regular" w:cs="Times New Roman Regular"/>
        </w:rPr>
        <w:fldChar w:fldCharType="separate"/>
      </w:r>
      <w:r>
        <w:rPr>
          <w:rFonts w:ascii="Times New Roman Regular" w:hAnsi="Times New Roman Regular" w:cs="Times New Roman Regular"/>
        </w:rPr>
        <w:t>14</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"_Toc1770388266" </w:instrText>
      </w:r>
      <w:r>
        <w:fldChar w:fldCharType="separate"/>
      </w:r>
      <w:r>
        <w:rPr>
          <w:rFonts w:ascii="Times New Roman Regular" w:hAnsi="Times New Roman Regular" w:cs="Times New Roman Regular"/>
          <w:bCs/>
        </w:rPr>
        <w:t>3.9学生毕业综合训练情况</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_Toc1770388266 \h </w:instrText>
      </w:r>
      <w:r>
        <w:rPr>
          <w:rFonts w:ascii="Times New Roman Regular" w:hAnsi="Times New Roman Regular" w:cs="Times New Roman Regular"/>
        </w:rPr>
        <w:fldChar w:fldCharType="separate"/>
      </w:r>
      <w:r>
        <w:rPr>
          <w:rFonts w:ascii="Times New Roman Regular" w:hAnsi="Times New Roman Regular" w:cs="Times New Roman Regular"/>
        </w:rPr>
        <w:t>15</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"_Toc1529657477" </w:instrText>
      </w:r>
      <w:r>
        <w:fldChar w:fldCharType="separate"/>
      </w:r>
      <w:r>
        <w:rPr>
          <w:rFonts w:ascii="Times New Roman Regular" w:hAnsi="Times New Roman Regular" w:cs="Times New Roman Regular"/>
          <w:bCs/>
        </w:rPr>
        <w:t>3.10教学改革</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_Toc1529657477 \h </w:instrText>
      </w:r>
      <w:r>
        <w:rPr>
          <w:rFonts w:ascii="Times New Roman Regular" w:hAnsi="Times New Roman Regular" w:cs="Times New Roman Regular"/>
        </w:rPr>
        <w:fldChar w:fldCharType="separate"/>
      </w:r>
      <w:r>
        <w:rPr>
          <w:rFonts w:ascii="Times New Roman Regular" w:hAnsi="Times New Roman Regular" w:cs="Times New Roman Regular"/>
        </w:rPr>
        <w:t>16</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15"/>
        <w:tabs>
          <w:tab w:val="right" w:leader="dot" w:pos="8306"/>
        </w:tabs>
        <w:spacing w:line="360" w:lineRule="auto"/>
        <w:ind w:left="480"/>
        <w:rPr>
          <w:rFonts w:ascii="Times New Roman Regular" w:hAnsi="Times New Roman Regular" w:cs="Times New Roman Regular"/>
        </w:rPr>
      </w:pPr>
      <w:r>
        <w:fldChar w:fldCharType="begin"/>
      </w:r>
      <w:r>
        <w:instrText xml:space="preserve"> HYPERLINK \l "_Toc1426477702" </w:instrText>
      </w:r>
      <w:r>
        <w:fldChar w:fldCharType="separate"/>
      </w:r>
      <w:r>
        <w:rPr>
          <w:rFonts w:ascii="Times New Roman Regular" w:hAnsi="Times New Roman Regular" w:cs="Times New Roman Regular"/>
          <w:szCs w:val="28"/>
        </w:rPr>
        <w:t>4.教师队伍</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_Toc1426477702 \h </w:instrText>
      </w:r>
      <w:r>
        <w:rPr>
          <w:rFonts w:ascii="Times New Roman Regular" w:hAnsi="Times New Roman Regular" w:cs="Times New Roman Regular"/>
        </w:rPr>
        <w:fldChar w:fldCharType="separate"/>
      </w:r>
      <w:r>
        <w:rPr>
          <w:rFonts w:ascii="Times New Roman Regular" w:hAnsi="Times New Roman Regular" w:cs="Times New Roman Regular"/>
        </w:rPr>
        <w:t>18</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"_Toc303302406" </w:instrText>
      </w:r>
      <w:r>
        <w:fldChar w:fldCharType="separate"/>
      </w:r>
      <w:r>
        <w:rPr>
          <w:rFonts w:ascii="Times New Roman Regular" w:hAnsi="Times New Roman Regular" w:cs="Times New Roman Regular"/>
        </w:rPr>
        <w:t>4.1专业教师数量与结构</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_Toc303302406 \h </w:instrText>
      </w:r>
      <w:r>
        <w:rPr>
          <w:rFonts w:ascii="Times New Roman Regular" w:hAnsi="Times New Roman Regular" w:cs="Times New Roman Regular"/>
        </w:rPr>
        <w:fldChar w:fldCharType="separate"/>
      </w:r>
      <w:r>
        <w:rPr>
          <w:rFonts w:ascii="Times New Roman Regular" w:hAnsi="Times New Roman Regular" w:cs="Times New Roman Regular"/>
        </w:rPr>
        <w:t>18</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"_Toc1624843311" </w:instrText>
      </w:r>
      <w:r>
        <w:fldChar w:fldCharType="separate"/>
      </w:r>
      <w:r>
        <w:rPr>
          <w:rFonts w:ascii="Times New Roman Regular" w:hAnsi="Times New Roman Regular" w:cs="Times New Roman Regular"/>
        </w:rPr>
        <w:t>4.2授课师资分析</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_Toc1624843311 \h </w:instrText>
      </w:r>
      <w:r>
        <w:rPr>
          <w:rFonts w:ascii="Times New Roman Regular" w:hAnsi="Times New Roman Regular" w:cs="Times New Roman Regular"/>
        </w:rPr>
        <w:fldChar w:fldCharType="separate"/>
      </w:r>
      <w:r>
        <w:rPr>
          <w:rFonts w:ascii="Times New Roman Regular" w:hAnsi="Times New Roman Regular" w:cs="Times New Roman Regular"/>
        </w:rPr>
        <w:t>19</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"_Toc1339472725" </w:instrText>
      </w:r>
      <w:r>
        <w:fldChar w:fldCharType="separate"/>
      </w:r>
      <w:r>
        <w:rPr>
          <w:rFonts w:ascii="Times New Roman Regular" w:hAnsi="Times New Roman Regular" w:cs="Times New Roman Regular"/>
        </w:rPr>
        <w:t>4.3教师教学科研情况</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_Toc1339472725 \h </w:instrText>
      </w:r>
      <w:r>
        <w:rPr>
          <w:rFonts w:ascii="Times New Roman Regular" w:hAnsi="Times New Roman Regular" w:cs="Times New Roman Regular"/>
        </w:rPr>
        <w:fldChar w:fldCharType="separate"/>
      </w:r>
      <w:r>
        <w:rPr>
          <w:rFonts w:ascii="Times New Roman Regular" w:hAnsi="Times New Roman Regular" w:cs="Times New Roman Regular"/>
        </w:rPr>
        <w:t>21</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15"/>
        <w:tabs>
          <w:tab w:val="right" w:leader="dot" w:pos="8306"/>
        </w:tabs>
        <w:spacing w:line="360" w:lineRule="auto"/>
        <w:ind w:left="480"/>
        <w:rPr>
          <w:rFonts w:ascii="Times New Roman Regular" w:hAnsi="Times New Roman Regular" w:cs="Times New Roman Regular"/>
        </w:rPr>
      </w:pPr>
      <w:r>
        <w:fldChar w:fldCharType="begin"/>
      </w:r>
      <w:r>
        <w:instrText xml:space="preserve"> HYPERLINK \l "_Toc447017574" </w:instrText>
      </w:r>
      <w:r>
        <w:fldChar w:fldCharType="separate"/>
      </w:r>
      <w:r>
        <w:rPr>
          <w:rFonts w:ascii="Times New Roman Regular" w:hAnsi="Times New Roman Regular" w:cs="Times New Roman Regular"/>
          <w:szCs w:val="28"/>
        </w:rPr>
        <w:t>5.支持条件</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_Toc447017574 \h </w:instrText>
      </w:r>
      <w:r>
        <w:rPr>
          <w:rFonts w:ascii="Times New Roman Regular" w:hAnsi="Times New Roman Regular" w:cs="Times New Roman Regular"/>
        </w:rPr>
        <w:fldChar w:fldCharType="separate"/>
      </w:r>
      <w:r>
        <w:rPr>
          <w:rFonts w:ascii="Times New Roman Regular" w:hAnsi="Times New Roman Regular" w:cs="Times New Roman Regular"/>
        </w:rPr>
        <w:t>22</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"_Toc1126569012" </w:instrText>
      </w:r>
      <w:r>
        <w:fldChar w:fldCharType="separate"/>
      </w:r>
      <w:r>
        <w:rPr>
          <w:rFonts w:ascii="Times New Roman Regular" w:hAnsi="Times New Roman Regular" w:cs="Times New Roman Regular"/>
        </w:rPr>
        <w:t>5.1学校生均教学经费情况</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_Toc1126569012 \h </w:instrText>
      </w:r>
      <w:r>
        <w:rPr>
          <w:rFonts w:ascii="Times New Roman Regular" w:hAnsi="Times New Roman Regular" w:cs="Times New Roman Regular"/>
        </w:rPr>
        <w:fldChar w:fldCharType="separate"/>
      </w:r>
      <w:r>
        <w:rPr>
          <w:rFonts w:ascii="Times New Roman Regular" w:hAnsi="Times New Roman Regular" w:cs="Times New Roman Regular"/>
        </w:rPr>
        <w:t>22</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"_Toc2029552732" </w:instrText>
      </w:r>
      <w:r>
        <w:fldChar w:fldCharType="separate"/>
      </w:r>
      <w:r>
        <w:rPr>
          <w:rFonts w:ascii="Times New Roman Regular" w:hAnsi="Times New Roman Regular" w:cs="Times New Roman Regular"/>
        </w:rPr>
        <w:t>5.2支撑专业实验教学校内场所情况</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_Toc2029552732 \h </w:instrText>
      </w:r>
      <w:r>
        <w:rPr>
          <w:rFonts w:ascii="Times New Roman Regular" w:hAnsi="Times New Roman Regular" w:cs="Times New Roman Regular"/>
        </w:rPr>
        <w:fldChar w:fldCharType="separate"/>
      </w:r>
      <w:r>
        <w:rPr>
          <w:rFonts w:ascii="Times New Roman Regular" w:hAnsi="Times New Roman Regular" w:cs="Times New Roman Regular"/>
        </w:rPr>
        <w:t>22</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"_Toc62517776" </w:instrText>
      </w:r>
      <w:r>
        <w:fldChar w:fldCharType="separate"/>
      </w:r>
      <w:r>
        <w:rPr>
          <w:rFonts w:ascii="Times New Roman Regular" w:hAnsi="Times New Roman Regular" w:cs="Times New Roman Regular"/>
        </w:rPr>
        <w:t>5.3校外本科教学实习实训基地情况</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_Toc62517776 \h </w:instrText>
      </w:r>
      <w:r>
        <w:rPr>
          <w:rFonts w:ascii="Times New Roman Regular" w:hAnsi="Times New Roman Regular" w:cs="Times New Roman Regular"/>
        </w:rPr>
        <w:fldChar w:fldCharType="separate"/>
      </w:r>
      <w:r>
        <w:rPr>
          <w:rFonts w:ascii="Times New Roman Regular" w:hAnsi="Times New Roman Regular" w:cs="Times New Roman Regular"/>
        </w:rPr>
        <w:t>23</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15"/>
        <w:tabs>
          <w:tab w:val="right" w:leader="dot" w:pos="8306"/>
        </w:tabs>
        <w:spacing w:line="360" w:lineRule="auto"/>
        <w:ind w:left="480"/>
        <w:rPr>
          <w:rFonts w:ascii="Times New Roman Regular" w:hAnsi="Times New Roman Regular" w:cs="Times New Roman Regular"/>
        </w:rPr>
      </w:pPr>
      <w:r>
        <w:fldChar w:fldCharType="begin"/>
      </w:r>
      <w:r>
        <w:instrText xml:space="preserve"> HYPERLINK \l "_Toc616757849" </w:instrText>
      </w:r>
      <w:r>
        <w:fldChar w:fldCharType="separate"/>
      </w:r>
      <w:r>
        <w:rPr>
          <w:rFonts w:ascii="Times New Roman Regular" w:hAnsi="Times New Roman Regular" w:cs="Times New Roman Regular"/>
          <w:szCs w:val="28"/>
        </w:rPr>
        <w:t>6.质量保障</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_Toc616757849 \h </w:instrText>
      </w:r>
      <w:r>
        <w:rPr>
          <w:rFonts w:ascii="Times New Roman Regular" w:hAnsi="Times New Roman Regular" w:cs="Times New Roman Regular"/>
        </w:rPr>
        <w:fldChar w:fldCharType="separate"/>
      </w:r>
      <w:r>
        <w:rPr>
          <w:rFonts w:ascii="Times New Roman Regular" w:hAnsi="Times New Roman Regular" w:cs="Times New Roman Regular"/>
        </w:rPr>
        <w:t>24</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"_Toc2093087721" </w:instrText>
      </w:r>
      <w:r>
        <w:fldChar w:fldCharType="separate"/>
      </w:r>
      <w:r>
        <w:rPr>
          <w:rFonts w:ascii="Times New Roman Regular" w:hAnsi="Times New Roman Regular" w:cs="Times New Roman Regular"/>
        </w:rPr>
        <w:t>6.1质量保障体系</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_Toc2093087721 \h </w:instrText>
      </w:r>
      <w:r>
        <w:rPr>
          <w:rFonts w:ascii="Times New Roman Regular" w:hAnsi="Times New Roman Regular" w:cs="Times New Roman Regular"/>
        </w:rPr>
        <w:fldChar w:fldCharType="separate"/>
      </w:r>
      <w:r>
        <w:rPr>
          <w:rFonts w:ascii="Times New Roman Regular" w:hAnsi="Times New Roman Regular" w:cs="Times New Roman Regular"/>
        </w:rPr>
        <w:t>24</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"_Toc595705340" </w:instrText>
      </w:r>
      <w:r>
        <w:fldChar w:fldCharType="separate"/>
      </w:r>
      <w:r>
        <w:rPr>
          <w:rFonts w:ascii="Times New Roman Regular" w:hAnsi="Times New Roman Regular" w:cs="Times New Roman Regular"/>
        </w:rPr>
        <w:t>6.2质量监控制度及实施办法</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_Toc595705340 \h </w:instrText>
      </w:r>
      <w:r>
        <w:rPr>
          <w:rFonts w:ascii="Times New Roman Regular" w:hAnsi="Times New Roman Regular" w:cs="Times New Roman Regular"/>
        </w:rPr>
        <w:fldChar w:fldCharType="separate"/>
      </w:r>
      <w:r>
        <w:rPr>
          <w:rFonts w:ascii="Times New Roman Regular" w:hAnsi="Times New Roman Regular" w:cs="Times New Roman Regular"/>
        </w:rPr>
        <w:t>24</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"_Toc450887066" </w:instrText>
      </w:r>
      <w:r>
        <w:fldChar w:fldCharType="separate"/>
      </w:r>
      <w:r>
        <w:rPr>
          <w:rFonts w:ascii="Times New Roman Regular" w:hAnsi="Times New Roman Regular" w:cs="Times New Roman Regular"/>
        </w:rPr>
        <w:t>6.3质量评估反馈及持续改进</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_Toc450887066 \h </w:instrText>
      </w:r>
      <w:r>
        <w:rPr>
          <w:rFonts w:ascii="Times New Roman Regular" w:hAnsi="Times New Roman Regular" w:cs="Times New Roman Regular"/>
        </w:rPr>
        <w:fldChar w:fldCharType="separate"/>
      </w:r>
      <w:r>
        <w:rPr>
          <w:rFonts w:ascii="Times New Roman Regular" w:hAnsi="Times New Roman Regular" w:cs="Times New Roman Regular"/>
        </w:rPr>
        <w:t>25</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"_Toc1736611646" </w:instrText>
      </w:r>
      <w:r>
        <w:fldChar w:fldCharType="separate"/>
      </w:r>
      <w:r>
        <w:rPr>
          <w:rFonts w:ascii="Times New Roman Regular" w:hAnsi="Times New Roman Regular" w:cs="Times New Roman Regular"/>
        </w:rPr>
        <w:t>6.4在校生与毕业生满意度</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_Toc1736611646 \h </w:instrText>
      </w:r>
      <w:r>
        <w:rPr>
          <w:rFonts w:ascii="Times New Roman Regular" w:hAnsi="Times New Roman Regular" w:cs="Times New Roman Regular"/>
        </w:rPr>
        <w:fldChar w:fldCharType="separate"/>
      </w:r>
      <w:r>
        <w:rPr>
          <w:rFonts w:ascii="Times New Roman Regular" w:hAnsi="Times New Roman Regular" w:cs="Times New Roman Regular"/>
        </w:rPr>
        <w:t>26</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15"/>
        <w:tabs>
          <w:tab w:val="right" w:leader="dot" w:pos="8306"/>
        </w:tabs>
        <w:spacing w:line="360" w:lineRule="auto"/>
        <w:ind w:left="480"/>
        <w:rPr>
          <w:rFonts w:ascii="Times New Roman Regular" w:hAnsi="Times New Roman Regular" w:cs="Times New Roman Regular"/>
        </w:rPr>
      </w:pPr>
      <w:r>
        <w:fldChar w:fldCharType="begin"/>
      </w:r>
      <w:r>
        <w:instrText xml:space="preserve"> HYPERLINK \l "_Toc781687945" </w:instrText>
      </w:r>
      <w:r>
        <w:fldChar w:fldCharType="separate"/>
      </w:r>
      <w:r>
        <w:rPr>
          <w:rFonts w:ascii="Times New Roman Regular" w:hAnsi="Times New Roman Regular" w:cs="Times New Roman Regular"/>
          <w:bCs/>
          <w:szCs w:val="28"/>
        </w:rPr>
        <w:t>7.学生发展</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_Toc781687945 \h </w:instrText>
      </w:r>
      <w:r>
        <w:rPr>
          <w:rFonts w:ascii="Times New Roman Regular" w:hAnsi="Times New Roman Regular" w:cs="Times New Roman Regular"/>
        </w:rPr>
        <w:fldChar w:fldCharType="separate"/>
      </w:r>
      <w:r>
        <w:rPr>
          <w:rFonts w:ascii="Times New Roman Regular" w:hAnsi="Times New Roman Regular" w:cs="Times New Roman Regular"/>
        </w:rPr>
        <w:t>26</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"_Toc1671822916" </w:instrText>
      </w:r>
      <w:r>
        <w:fldChar w:fldCharType="separate"/>
      </w:r>
      <w:r>
        <w:rPr>
          <w:rFonts w:ascii="Times New Roman Regular" w:hAnsi="Times New Roman Regular" w:cs="Times New Roman Regular"/>
        </w:rPr>
        <w:t>7.1本科在校生数量基本情况</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_Toc1671822916 \h </w:instrText>
      </w:r>
      <w:r>
        <w:rPr>
          <w:rFonts w:ascii="Times New Roman Regular" w:hAnsi="Times New Roman Regular" w:cs="Times New Roman Regular"/>
        </w:rPr>
        <w:fldChar w:fldCharType="separate"/>
      </w:r>
      <w:r>
        <w:rPr>
          <w:rFonts w:ascii="Times New Roman Regular" w:hAnsi="Times New Roman Regular" w:cs="Times New Roman Regular"/>
        </w:rPr>
        <w:t>26</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"_Toc651711864" </w:instrText>
      </w:r>
      <w:r>
        <w:fldChar w:fldCharType="separate"/>
      </w:r>
      <w:r>
        <w:rPr>
          <w:rFonts w:ascii="Times New Roman Regular" w:hAnsi="Times New Roman Regular" w:cs="Times New Roman Regular"/>
        </w:rPr>
        <w:t>7.2专业招生录取率和新生报到率</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_Toc651711864 \h </w:instrText>
      </w:r>
      <w:r>
        <w:rPr>
          <w:rFonts w:ascii="Times New Roman Regular" w:hAnsi="Times New Roman Regular" w:cs="Times New Roman Regular"/>
        </w:rPr>
        <w:fldChar w:fldCharType="separate"/>
      </w:r>
      <w:r>
        <w:rPr>
          <w:rFonts w:ascii="Times New Roman Regular" w:hAnsi="Times New Roman Regular" w:cs="Times New Roman Regular"/>
        </w:rPr>
        <w:t>27</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"_Toc1154698548" </w:instrText>
      </w:r>
      <w:r>
        <w:fldChar w:fldCharType="separate"/>
      </w:r>
      <w:r>
        <w:rPr>
          <w:rFonts w:ascii="Times New Roman Regular" w:hAnsi="Times New Roman Regular" w:cs="Times New Roman Regular"/>
        </w:rPr>
        <w:t>7.3毕业生毕业率、学位授予率与去向落实率</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_Toc1154698548 \h </w:instrText>
      </w:r>
      <w:r>
        <w:rPr>
          <w:rFonts w:ascii="Times New Roman Regular" w:hAnsi="Times New Roman Regular" w:cs="Times New Roman Regular"/>
        </w:rPr>
        <w:fldChar w:fldCharType="separate"/>
      </w:r>
      <w:r>
        <w:rPr>
          <w:rFonts w:ascii="Times New Roman Regular" w:hAnsi="Times New Roman Regular" w:cs="Times New Roman Regular"/>
        </w:rPr>
        <w:t>27</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"_Toc208778297" </w:instrText>
      </w:r>
      <w:r>
        <w:fldChar w:fldCharType="separate"/>
      </w:r>
      <w:r>
        <w:rPr>
          <w:rFonts w:ascii="Times New Roman Regular" w:hAnsi="Times New Roman Regular" w:cs="Times New Roman Regular"/>
        </w:rPr>
        <w:t>7.4学风建设情况</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_Toc208778297 \h </w:instrText>
      </w:r>
      <w:r>
        <w:rPr>
          <w:rFonts w:ascii="Times New Roman Regular" w:hAnsi="Times New Roman Regular" w:cs="Times New Roman Regular"/>
        </w:rPr>
        <w:fldChar w:fldCharType="separate"/>
      </w:r>
      <w:r>
        <w:rPr>
          <w:rFonts w:ascii="Times New Roman Regular" w:hAnsi="Times New Roman Regular" w:cs="Times New Roman Regular"/>
        </w:rPr>
        <w:t>27</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15"/>
        <w:tabs>
          <w:tab w:val="right" w:leader="dot" w:pos="8306"/>
        </w:tabs>
        <w:spacing w:line="360" w:lineRule="auto"/>
        <w:ind w:left="480"/>
        <w:rPr>
          <w:rFonts w:ascii="Times New Roman Regular" w:hAnsi="Times New Roman Regular" w:cs="Times New Roman Regular"/>
        </w:rPr>
      </w:pPr>
      <w:r>
        <w:fldChar w:fldCharType="begin"/>
      </w:r>
      <w:r>
        <w:instrText xml:space="preserve"> HYPERLINK \l "_Toc2096042128" </w:instrText>
      </w:r>
      <w:r>
        <w:fldChar w:fldCharType="separate"/>
      </w:r>
      <w:r>
        <w:rPr>
          <w:rFonts w:ascii="Times New Roman Regular" w:hAnsi="Times New Roman Regular" w:cs="Times New Roman Regular"/>
          <w:szCs w:val="28"/>
        </w:rPr>
        <w:t>8.特色发展与案例</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_Toc2096042128 \h </w:instrText>
      </w:r>
      <w:r>
        <w:rPr>
          <w:rFonts w:ascii="Times New Roman Regular" w:hAnsi="Times New Roman Regular" w:cs="Times New Roman Regular"/>
        </w:rPr>
        <w:fldChar w:fldCharType="separate"/>
      </w:r>
      <w:r>
        <w:rPr>
          <w:rFonts w:ascii="Times New Roman Regular" w:hAnsi="Times New Roman Regular" w:cs="Times New Roman Regular"/>
        </w:rPr>
        <w:t>28</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"_Toc858299908" </w:instrText>
      </w:r>
      <w:r>
        <w:fldChar w:fldCharType="separate"/>
      </w:r>
      <w:r>
        <w:rPr>
          <w:rFonts w:ascii="Times New Roman Regular" w:hAnsi="Times New Roman Regular" w:cs="Times New Roman Regular"/>
        </w:rPr>
        <w:t>8.1主要经验</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_Toc858299908 \h </w:instrText>
      </w:r>
      <w:r>
        <w:rPr>
          <w:rFonts w:ascii="Times New Roman Regular" w:hAnsi="Times New Roman Regular" w:cs="Times New Roman Regular"/>
        </w:rPr>
        <w:fldChar w:fldCharType="separate"/>
      </w:r>
      <w:r>
        <w:rPr>
          <w:rFonts w:ascii="Times New Roman Regular" w:hAnsi="Times New Roman Regular" w:cs="Times New Roman Regular"/>
        </w:rPr>
        <w:t>28</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"_Toc798896857" </w:instrText>
      </w:r>
      <w:r>
        <w:fldChar w:fldCharType="separate"/>
      </w:r>
      <w:r>
        <w:rPr>
          <w:rFonts w:ascii="Times New Roman Regular" w:hAnsi="Times New Roman Regular" w:cs="Times New Roman Regular"/>
        </w:rPr>
        <w:t>8.2典型案例</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_Toc798896857 \h </w:instrText>
      </w:r>
      <w:r>
        <w:rPr>
          <w:rFonts w:ascii="Times New Roman Regular" w:hAnsi="Times New Roman Regular" w:cs="Times New Roman Regular"/>
        </w:rPr>
        <w:fldChar w:fldCharType="separate"/>
      </w:r>
      <w:r>
        <w:rPr>
          <w:rFonts w:ascii="Times New Roman Regular" w:hAnsi="Times New Roman Regular" w:cs="Times New Roman Regular"/>
        </w:rPr>
        <w:t>30</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15"/>
        <w:tabs>
          <w:tab w:val="right" w:leader="dot" w:pos="8306"/>
        </w:tabs>
        <w:spacing w:line="360" w:lineRule="auto"/>
        <w:ind w:left="480"/>
        <w:rPr>
          <w:rFonts w:ascii="Times New Roman Regular" w:hAnsi="Times New Roman Regular" w:cs="Times New Roman Regular"/>
        </w:rPr>
      </w:pPr>
      <w:r>
        <w:fldChar w:fldCharType="begin"/>
      </w:r>
      <w:r>
        <w:instrText xml:space="preserve"> HYPERLINK \l "_Toc991714555" </w:instrText>
      </w:r>
      <w:r>
        <w:fldChar w:fldCharType="separate"/>
      </w:r>
      <w:r>
        <w:rPr>
          <w:rFonts w:ascii="Times New Roman Regular" w:hAnsi="Times New Roman Regular" w:cs="Times New Roman Regular"/>
          <w:szCs w:val="28"/>
        </w:rPr>
        <w:t>9.问题与对策</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_Toc991714555 \h </w:instrText>
      </w:r>
      <w:r>
        <w:rPr>
          <w:rFonts w:ascii="Times New Roman Regular" w:hAnsi="Times New Roman Regular" w:cs="Times New Roman Regular"/>
        </w:rPr>
        <w:fldChar w:fldCharType="separate"/>
      </w:r>
      <w:r>
        <w:rPr>
          <w:rFonts w:ascii="Times New Roman Regular" w:hAnsi="Times New Roman Regular" w:cs="Times New Roman Regular"/>
        </w:rPr>
        <w:t>31</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"_Toc1125941518" </w:instrText>
      </w:r>
      <w:r>
        <w:fldChar w:fldCharType="separate"/>
      </w:r>
      <w:r>
        <w:rPr>
          <w:rFonts w:ascii="Times New Roman Regular" w:hAnsi="Times New Roman Regular" w:cs="Times New Roman Regular"/>
        </w:rPr>
        <w:t>9.1存在问题</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_Toc1125941518 \h </w:instrText>
      </w:r>
      <w:r>
        <w:rPr>
          <w:rFonts w:ascii="Times New Roman Regular" w:hAnsi="Times New Roman Regular" w:cs="Times New Roman Regular"/>
        </w:rPr>
        <w:fldChar w:fldCharType="separate"/>
      </w:r>
      <w:r>
        <w:rPr>
          <w:rFonts w:ascii="Times New Roman Regular" w:hAnsi="Times New Roman Regular" w:cs="Times New Roman Regular"/>
        </w:rPr>
        <w:t>31</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9"/>
        <w:tabs>
          <w:tab w:val="right" w:leader="dot" w:pos="8306"/>
          <w:tab w:val="clear" w:pos="8296"/>
        </w:tabs>
        <w:rPr>
          <w:rFonts w:ascii="Times New Roman Regular" w:hAnsi="Times New Roman Regular" w:cs="Times New Roman Regular"/>
        </w:rPr>
      </w:pPr>
      <w:r>
        <w:fldChar w:fldCharType="begin"/>
      </w:r>
      <w:r>
        <w:instrText xml:space="preserve"> HYPERLINK \l "_Toc73195662" </w:instrText>
      </w:r>
      <w:r>
        <w:fldChar w:fldCharType="separate"/>
      </w:r>
      <w:r>
        <w:rPr>
          <w:rFonts w:ascii="Times New Roman Regular" w:hAnsi="Times New Roman Regular" w:cs="Times New Roman Regular"/>
        </w:rPr>
        <w:t>9.2改进对策</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_Toc73195662 \h </w:instrText>
      </w:r>
      <w:r>
        <w:rPr>
          <w:rFonts w:ascii="Times New Roman Regular" w:hAnsi="Times New Roman Regular" w:cs="Times New Roman Regular"/>
        </w:rPr>
        <w:fldChar w:fldCharType="separate"/>
      </w:r>
      <w:r>
        <w:rPr>
          <w:rFonts w:ascii="Times New Roman Regular" w:hAnsi="Times New Roman Regular" w:cs="Times New Roman Regular"/>
        </w:rPr>
        <w:t>34</w:t>
      </w:r>
      <w:r>
        <w:rPr>
          <w:rFonts w:ascii="Times New Roman Regular" w:hAnsi="Times New Roman Regular" w:cs="Times New Roman Regular"/>
        </w:rPr>
        <w:fldChar w:fldCharType="end"/>
      </w:r>
      <w:r>
        <w:rPr>
          <w:rFonts w:ascii="Times New Roman Regular" w:hAnsi="Times New Roman Regular" w:cs="Times New Roman Regular"/>
        </w:rPr>
        <w:fldChar w:fldCharType="end"/>
      </w:r>
    </w:p>
    <w:p>
      <w:pPr>
        <w:pStyle w:val="24"/>
        <w:spacing w:before="98" w:beforeAutospacing="0" w:after="0" w:afterAutospacing="0" w:line="360" w:lineRule="auto"/>
        <w:ind w:left="597" w:right="231"/>
        <w:jc w:val="center"/>
        <w:rPr>
          <w:rFonts w:ascii="Times New Roman Regular" w:hAnsi="Times New Roman Regular" w:cs="Times New Roman Regular"/>
        </w:rPr>
      </w:pPr>
      <w:r>
        <w:rPr>
          <w:rFonts w:ascii="Times New Roman Regular" w:hAnsi="Times New Roman Regular" w:cs="Times New Roman Regular"/>
        </w:rPr>
        <w:fldChar w:fldCharType="end"/>
      </w:r>
    </w:p>
    <w:p>
      <w:pPr>
        <w:spacing w:line="360" w:lineRule="auto"/>
        <w:rPr>
          <w:rFonts w:ascii="Times New Roman Regular" w:hAnsi="Times New Roman Regular" w:cs="Times New Roman Regular"/>
        </w:rPr>
      </w:pPr>
      <w:r>
        <w:rPr>
          <w:rFonts w:ascii="Times New Roman Regular" w:hAnsi="Times New Roman Regular" w:cs="Times New Roman Regular"/>
        </w:rPr>
        <w:br w:type="page"/>
      </w:r>
    </w:p>
    <w:p>
      <w:pPr>
        <w:pStyle w:val="3"/>
        <w:spacing w:line="360" w:lineRule="auto"/>
        <w:jc w:val="center"/>
        <w:rPr>
          <w:rFonts w:ascii="Times New Roman Regular" w:hAnsi="Times New Roman Regular" w:cs="Times New Roman Regular"/>
        </w:rPr>
      </w:pPr>
      <w:bookmarkStart w:id="1" w:name="_Toc128820648"/>
      <w:bookmarkStart w:id="2" w:name="_Toc775901049"/>
      <w:r>
        <w:rPr>
          <w:rFonts w:ascii="Times New Roman Regular" w:hAnsi="Times New Roman Regular" w:cs="Times New Roman Regular"/>
        </w:rPr>
        <w:t>说</w:t>
      </w:r>
      <w:r>
        <w:rPr>
          <w:rFonts w:ascii="Times New Roman Regular" w:hAnsi="Times New Roman Regular" w:cs="Times New Roman Regular"/>
        </w:rPr>
        <w:tab/>
      </w:r>
      <w:r>
        <w:rPr>
          <w:rFonts w:ascii="Times New Roman Regular" w:hAnsi="Times New Roman Regular" w:cs="Times New Roman Regular"/>
        </w:rPr>
        <w:t>明</w:t>
      </w:r>
      <w:bookmarkEnd w:id="1"/>
      <w:bookmarkEnd w:id="2"/>
      <w:r>
        <w:rPr>
          <w:rFonts w:ascii="Times New Roman Regular" w:hAnsi="Times New Roman Regular" w:cs="Times New Roman Regular"/>
        </w:rPr>
        <w:t xml:space="preserve"> </w:t>
      </w:r>
    </w:p>
    <w:p>
      <w:pPr>
        <w:widowControl w:val="0"/>
        <w:spacing w:line="360" w:lineRule="auto"/>
        <w:ind w:firstLine="420"/>
        <w:jc w:val="both"/>
        <w:rPr>
          <w:rFonts w:ascii="Times New Roman Regular" w:hAnsi="Times New Roman Regular" w:eastAsia="仿宋" w:cs="Times New Roman Regular"/>
          <w:kern w:val="2"/>
          <w:sz w:val="28"/>
          <w:szCs w:val="28"/>
        </w:rPr>
      </w:pPr>
      <w:r>
        <w:rPr>
          <w:rFonts w:ascii="Times New Roman Regular" w:hAnsi="Times New Roman Regular" w:eastAsia="仿宋" w:cs="Times New Roman Regular"/>
          <w:kern w:val="2"/>
          <w:sz w:val="28"/>
          <w:szCs w:val="28"/>
        </w:rPr>
        <w:t xml:space="preserve">除特殊说明外，本报告所有的数据资料均来自于高等教育质量监测国家数据平台，涉及专业概况、学生发展、培养目标和毕业要求、课程体系、教师队伍、支持条件和质量保障七个方面的相关信息，供专家组了解情况、分析判断、考查评估使用。 </w:t>
      </w:r>
    </w:p>
    <w:p>
      <w:pPr>
        <w:widowControl w:val="0"/>
        <w:ind w:firstLine="420"/>
        <w:rPr>
          <w:rFonts w:ascii="Times New Roman" w:hAnsi="Times New Roman" w:eastAsia="仿宋" w:cs="Times New Roman"/>
          <w:kern w:val="2"/>
          <w:sz w:val="28"/>
          <w:szCs w:val="28"/>
        </w:rPr>
      </w:pPr>
      <w:r>
        <w:rPr>
          <w:rFonts w:ascii="Times New Roman Regular" w:hAnsi="Times New Roman Regular" w:eastAsia="仿宋" w:cs="Times New Roman Regular"/>
          <w:kern w:val="2"/>
          <w:sz w:val="28"/>
          <w:szCs w:val="28"/>
        </w:rPr>
        <w:t>报告中财务和科研数据的统计时点为</w:t>
      </w:r>
      <w:r>
        <w:rPr>
          <w:rFonts w:hint="eastAsia" w:ascii="Times New Roman" w:hAnsi="Times New Roman" w:eastAsia="仿宋" w:cs="Times New Roman"/>
          <w:kern w:val="2"/>
          <w:sz w:val="28"/>
          <w:szCs w:val="28"/>
          <w:lang w:val="en-US" w:eastAsia="zh-CN"/>
        </w:rPr>
        <w:t>2023</w:t>
      </w:r>
      <w:r>
        <w:rPr>
          <w:rFonts w:ascii="Times New Roman" w:hAnsi="Times New Roman" w:eastAsia="仿宋" w:cs="Times New Roman"/>
          <w:kern w:val="2"/>
          <w:sz w:val="28"/>
          <w:szCs w:val="28"/>
        </w:rPr>
        <w:t>年自然年（即</w:t>
      </w:r>
      <w:r>
        <w:rPr>
          <w:rFonts w:hint="eastAsia" w:ascii="Times New Roman" w:hAnsi="Times New Roman" w:eastAsia="仿宋" w:cs="Times New Roman"/>
          <w:kern w:val="2"/>
          <w:sz w:val="28"/>
          <w:szCs w:val="28"/>
          <w:lang w:val="en-US" w:eastAsia="zh-CN"/>
        </w:rPr>
        <w:t>2023</w:t>
      </w:r>
      <w:r>
        <w:rPr>
          <w:rFonts w:ascii="Times New Roman" w:hAnsi="Times New Roman" w:eastAsia="仿宋" w:cs="Times New Roman"/>
          <w:kern w:val="2"/>
          <w:sz w:val="28"/>
          <w:szCs w:val="28"/>
        </w:rPr>
        <w:t>年1月1日至12月31日），教学等其他数据统计时点为</w:t>
      </w:r>
      <w:r>
        <w:rPr>
          <w:rFonts w:hint="eastAsia" w:ascii="Times New Roman" w:hAnsi="Times New Roman" w:eastAsia="仿宋" w:cs="Times New Roman"/>
          <w:kern w:val="2"/>
          <w:sz w:val="28"/>
          <w:szCs w:val="28"/>
          <w:lang w:val="en-US" w:eastAsia="zh-CN"/>
        </w:rPr>
        <w:t>2022</w:t>
      </w:r>
      <w:r>
        <w:rPr>
          <w:rFonts w:ascii="Times New Roman" w:hAnsi="Times New Roman" w:eastAsia="仿宋" w:cs="Times New Roman"/>
          <w:kern w:val="2"/>
          <w:sz w:val="28"/>
          <w:szCs w:val="28"/>
        </w:rPr>
        <w:t xml:space="preserve">学年（即 </w:t>
      </w:r>
      <w:r>
        <w:rPr>
          <w:rFonts w:hint="eastAsia" w:ascii="Times New Roman" w:hAnsi="Times New Roman" w:eastAsia="仿宋" w:cs="Times New Roman"/>
          <w:kern w:val="2"/>
          <w:sz w:val="28"/>
          <w:szCs w:val="28"/>
          <w:lang w:val="en-US" w:eastAsia="zh-CN"/>
        </w:rPr>
        <w:t>2022</w:t>
      </w:r>
      <w:r>
        <w:rPr>
          <w:rFonts w:ascii="Times New Roman" w:hAnsi="Times New Roman" w:eastAsia="仿宋" w:cs="Times New Roman"/>
          <w:kern w:val="2"/>
          <w:sz w:val="28"/>
          <w:szCs w:val="28"/>
        </w:rPr>
        <w:t xml:space="preserve">年 9 月 1 日至 </w:t>
      </w:r>
      <w:r>
        <w:rPr>
          <w:rFonts w:hint="eastAsia" w:ascii="Times New Roman" w:hAnsi="Times New Roman" w:eastAsia="仿宋" w:cs="Times New Roman"/>
          <w:kern w:val="2"/>
          <w:sz w:val="28"/>
          <w:szCs w:val="28"/>
          <w:lang w:val="en-US" w:eastAsia="zh-CN"/>
        </w:rPr>
        <w:t>2023</w:t>
      </w:r>
      <w:r>
        <w:rPr>
          <w:rFonts w:ascii="Times New Roman" w:hAnsi="Times New Roman" w:eastAsia="仿宋" w:cs="Times New Roman"/>
          <w:kern w:val="2"/>
          <w:sz w:val="28"/>
          <w:szCs w:val="28"/>
        </w:rPr>
        <w:t>年 8 月 31 日）。</w:t>
      </w:r>
    </w:p>
    <w:p>
      <w:pPr>
        <w:widowControl w:val="0"/>
        <w:spacing w:line="360" w:lineRule="auto"/>
        <w:ind w:firstLine="420"/>
        <w:jc w:val="both"/>
        <w:rPr>
          <w:rFonts w:ascii="Times New Roman Regular" w:hAnsi="Times New Roman Regular" w:eastAsia="仿宋" w:cs="Times New Roman Regular"/>
          <w:kern w:val="2"/>
          <w:sz w:val="28"/>
          <w:szCs w:val="28"/>
        </w:rPr>
      </w:pPr>
    </w:p>
    <w:p>
      <w:pPr>
        <w:spacing w:line="360" w:lineRule="auto"/>
        <w:rPr>
          <w:rFonts w:ascii="Times New Roman Regular" w:hAnsi="Times New Roman Regular" w:eastAsia="仿宋" w:cs="Times New Roman Regular"/>
          <w:kern w:val="2"/>
          <w:sz w:val="28"/>
          <w:szCs w:val="28"/>
        </w:rPr>
      </w:pPr>
      <w:r>
        <w:rPr>
          <w:rFonts w:ascii="Times New Roman Regular" w:hAnsi="Times New Roman Regular" w:eastAsia="仿宋" w:cs="Times New Roman Regular"/>
          <w:kern w:val="2"/>
          <w:sz w:val="28"/>
          <w:szCs w:val="28"/>
        </w:rPr>
        <w:br w:type="page"/>
      </w:r>
    </w:p>
    <w:p>
      <w:pPr>
        <w:pStyle w:val="3"/>
        <w:pageBreakBefore/>
        <w:numPr>
          <w:ilvl w:val="0"/>
          <w:numId w:val="1"/>
        </w:numPr>
        <w:spacing w:after="120" w:line="360" w:lineRule="auto"/>
        <w:jc w:val="left"/>
        <w:rPr>
          <w:rFonts w:ascii="Times New Roman Regular" w:hAnsi="Times New Roman Regular" w:cs="Times New Roman Regular"/>
        </w:rPr>
      </w:pPr>
      <w:bookmarkStart w:id="3" w:name="_Toc1048225959"/>
      <w:r>
        <w:rPr>
          <w:rFonts w:ascii="Times New Roman Regular" w:hAnsi="Times New Roman Regular" w:cs="Times New Roman Regular"/>
          <w:sz w:val="28"/>
          <w:szCs w:val="28"/>
        </w:rPr>
        <w:t>专业概况</w:t>
      </w:r>
      <w:bookmarkEnd w:id="3"/>
    </w:p>
    <w:p>
      <w:pPr>
        <w:spacing w:line="360" w:lineRule="auto"/>
        <w:rPr>
          <w:rFonts w:ascii="Times New Roman Regular" w:hAnsi="Times New Roman Regular" w:cs="Times New Roman Regular"/>
        </w:rPr>
      </w:pPr>
      <w:r>
        <w:rPr>
          <w:rFonts w:ascii="Times New Roman Regular" w:hAnsi="Times New Roman Regular" w:cs="Times New Roman Regular"/>
        </w:rPr>
        <w:t>（1）专业所在学院概况，学院专业设置情况</w:t>
      </w:r>
    </w:p>
    <w:p>
      <w:pPr>
        <w:shd w:val="clear" w:color="auto" w:fill="FFFFFF"/>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管理学院是以经济、管理学科为主体，同时积极与学校工程技术、社会科学等其他学科互相渗透、协调发展的二级学院。以“人才培养、科学研究、社会服务、文化传承与创新”为办学宗旨，以适应学校创建现代化特色大学和向教学研究型大学转型为导向，按照学校“推进内涵建设，服务地方经济”的总体要求，以“质量立院、人才强院、特色兴院、文化活院”为发展理念，以学科建设为龙头，以人才培养为中心，以师资队伍建设为根本，以提升科研水平和服务地方经济建设为驱动，以科学的管理和和谐的文化氛围为保障，着力提升学院的核心竞争力。</w:t>
      </w:r>
    </w:p>
    <w:p>
      <w:pPr>
        <w:shd w:val="clear" w:color="auto" w:fill="FFFFFF"/>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经过40余年的发展，管理学院目前下设6个学系，分别是工商管理系、管理工程系、旅游管理与营销系、工业工程与物流系、应用经济系、公共管理系；15个本科专业（工商管理、市场营销、财务管理、旅游管理（邮轮经济）、管理科学（东方管理）、人力资源管理、工程管理、物流管理、信息管理与信息系统、工业工程、公共事业管理、劳动与社会保障、养老服务管理、金融学、国际经济与贸易）；拥有工商管理和公共管理2个一级学科，8个二级学科硕士点，（即工商管理一级学科硕士点下设的企业管理、技术经济及管理、旅游管理、会计学4个二级学科硕士点和公共管理一级学科下设的社会保障、行政管理、现代城市社会治理、教育经济与管理4个二级专业硕士点）及上海市哲社人文社科研究基地、上海市“政府公共决策支持”研究基地、上海市社会调查研究中心分中心、上海市软科学研究基地、上海国际邮轮经济研究中心等6个省部级科研基地。学院现有本科生3600余人，研究生900余人；现已形成了专业特色鲜明，学科优势明显，具有较高社会影响力的经济管理学院。</w:t>
      </w:r>
    </w:p>
    <w:p>
      <w:pPr>
        <w:spacing w:line="360" w:lineRule="auto"/>
        <w:jc w:val="both"/>
        <w:rPr>
          <w:rFonts w:ascii="Times New Roman Regular" w:hAnsi="Times New Roman Regular" w:cs="Times New Roman Regular"/>
        </w:rPr>
      </w:pPr>
      <w:r>
        <w:rPr>
          <w:rFonts w:ascii="Times New Roman Regular" w:hAnsi="Times New Roman Regular" w:cs="Times New Roman Regular"/>
        </w:rPr>
        <w:t>（2）专业的历史沿革</w:t>
      </w:r>
    </w:p>
    <w:p>
      <w:pPr>
        <w:shd w:val="clear" w:color="auto" w:fill="FFFFFF"/>
        <w:spacing w:after="156" w:afterLines="50"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上海工程技术大学于2003年设置工商管理（物流管理）本科专业，2005年工商管理（物流管理）专业正式定名为物流管理专业，并被上海市教委批准为首批上海高校本科教育高地建设项目，并于2009年顺利通过验收。2016年通过了教育部专业审核性评估。在专业建设中，物流管理专业始终以提升本科教育质量为目标，强调满足企业需求，突出学生实践能力的培养，教学效果获得同行企业的高度认可。经过不断探索与创新实践，物流管理专业已初步建设成为特色鲜明、具有一定社会影响力的本科专业。</w:t>
      </w:r>
    </w:p>
    <w:p>
      <w:pPr>
        <w:pStyle w:val="4"/>
        <w:spacing w:line="360" w:lineRule="auto"/>
        <w:rPr>
          <w:rFonts w:ascii="Times New Roman Regular" w:hAnsi="Times New Roman Regular" w:eastAsia="宋体" w:cs="Times New Roman Regular"/>
          <w:sz w:val="24"/>
          <w:szCs w:val="24"/>
        </w:rPr>
      </w:pPr>
      <w:bookmarkStart w:id="4" w:name="_Toc1725336572"/>
      <w:r>
        <w:rPr>
          <w:rFonts w:ascii="Times New Roman Regular" w:hAnsi="Times New Roman Regular" w:eastAsia="宋体" w:cs="Times New Roman Regular"/>
          <w:sz w:val="24"/>
          <w:szCs w:val="24"/>
        </w:rPr>
        <w:t>1.1专业设置情况</w:t>
      </w:r>
      <w:bookmarkEnd w:id="4"/>
    </w:p>
    <w:p>
      <w:pPr>
        <w:spacing w:line="360" w:lineRule="auto"/>
        <w:jc w:val="center"/>
        <w:rPr>
          <w:rFonts w:ascii="Times New Roman Regular" w:hAnsi="Times New Roman Regular" w:cs="Times New Roman Regular"/>
        </w:rPr>
      </w:pPr>
      <w:r>
        <w:rPr>
          <w:rFonts w:ascii="Times New Roman Regular" w:hAnsi="Times New Roman Regular" w:cs="Times New Roman Regular"/>
        </w:rPr>
        <w:t>表1-1 专业设置情况</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4424"/>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5780" w:type="dxa"/>
            <w:gridSpan w:val="2"/>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line="360" w:lineRule="auto"/>
              <w:ind w:left="2659" w:right="265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项目</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学校情况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rPr>
            </w:pPr>
            <w:r>
              <w:rPr>
                <w:rFonts w:ascii="Times New Roman Regular" w:hAnsi="Times New Roman Regular" w:cs="Times New Roman Regular"/>
                <w:sz w:val="21"/>
                <w:szCs w:val="22"/>
              </w:rPr>
              <w:t>专业基本信息</w:t>
            </w: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专业代码</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120601</w:t>
            </w:r>
            <w:bookmarkStart w:id="5" w:name="OLE_LINK2"/>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专业名称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物流管理</w:t>
            </w:r>
            <w:bookmarkStart w:id="6" w:name="OLE_LINK3"/>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所属单位名称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管理学院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专业设置年份</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2006</w:t>
            </w:r>
            <w:bookmarkStart w:id="7" w:name="OLE_LINK4"/>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bookmarkStart w:id="8" w:name="OLE_LINK5"/>
            <w:r>
              <w:rPr>
                <w:rFonts w:ascii="Times New Roman Regular" w:hAnsi="Times New Roman Regular" w:cs="Times New Roman Regular"/>
                <w:sz w:val="21"/>
                <w:szCs w:val="22"/>
              </w:rPr>
              <w:t>优势专业类型</w:t>
            </w:r>
            <w:bookmarkEnd w:id="8"/>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省级一流专业建设点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学制</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bookmarkStart w:id="9" w:name="OLE_LINK6"/>
            <w:r>
              <w:rPr>
                <w:rFonts w:ascii="Times New Roman Regular" w:hAnsi="Times New Roman Regular" w:cs="Times New Roman Regular"/>
                <w:sz w:val="21"/>
                <w:szCs w:val="22"/>
              </w:rPr>
              <w:t>允许修业年限</w:t>
            </w:r>
            <w:bookmarkEnd w:id="9"/>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bookmarkStart w:id="10" w:name="OLE_LINK7"/>
            <w:r>
              <w:rPr>
                <w:rFonts w:ascii="Times New Roman Regular" w:hAnsi="Times New Roman Regular" w:cs="Times New Roman Regular"/>
                <w:sz w:val="21"/>
                <w:szCs w:val="22"/>
              </w:rPr>
              <w:t>授予学位门类</w:t>
            </w:r>
            <w:bookmarkEnd w:id="10"/>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管理学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在校本科学生数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当年计划招生数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专业教师数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专业课授课校内教师数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113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外聘授课教师数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应届本科毕业生去向落实率</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98.11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学校生师比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17.95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专业教师与本科生之比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11.45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专业课授课教师（本学院）与本科生之比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rPr>
            </w:pPr>
            <w:r>
              <w:rPr>
                <w:rFonts w:ascii="Times New Roman Regular" w:hAnsi="Times New Roman Regular" w:cs="Times New Roman Regular"/>
                <w:sz w:val="21"/>
                <w:szCs w:val="22"/>
              </w:rPr>
              <w:t>专业负责人</w:t>
            </w: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刘峥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是否外聘</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专业技术职称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hint="eastAsia" w:ascii="Times New Roman Regular" w:hAnsi="Times New Roman Regular" w:cs="Times New Roman Regular"/>
                <w:sz w:val="21"/>
                <w:szCs w:val="22"/>
              </w:rPr>
              <w:t>副</w:t>
            </w:r>
            <w:r>
              <w:rPr>
                <w:rFonts w:ascii="Times New Roman Regular" w:hAnsi="Times New Roman Regular" w:cs="Times New Roman Regular"/>
                <w:sz w:val="21"/>
                <w:szCs w:val="22"/>
              </w:rPr>
              <w:t>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最高学位</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博士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学历</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博士研究生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是否双师型</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是否行业背景</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导师类别</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hint="eastAsia" w:ascii="Times New Roman Regular" w:hAnsi="Times New Roman Regular" w:cs="Times New Roman Regular"/>
                <w:sz w:val="21"/>
                <w:szCs w:val="22"/>
              </w:rPr>
            </w:pPr>
            <w:r>
              <w:rPr>
                <w:rFonts w:hint="eastAsia" w:ascii="Times New Roman Regular" w:hAnsi="Times New Roman Regular" w:cs="Times New Roman Regular"/>
                <w:sz w:val="21"/>
                <w:szCs w:val="22"/>
              </w:rPr>
              <w:t>硕士生导师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校内指导博士生数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hint="eastAsia" w:ascii="Times New Roman Regular" w:hAnsi="Times New Roman Regular" w:cs="Times New Roman Regular"/>
                <w:sz w:val="21"/>
                <w:szCs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校内指导硕士生数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hint="eastAsia" w:ascii="Times New Roman Regular" w:hAnsi="Times New Roman Regular" w:cs="Times New Roman Regular"/>
                <w:sz w:val="21"/>
                <w:szCs w:val="22"/>
              </w:rPr>
              <w:t>1</w:t>
            </w:r>
            <w:r>
              <w:rPr>
                <w:rFonts w:ascii="Times New Roman Regular" w:hAnsi="Times New Roman Regular" w:cs="Times New Roman Regular"/>
                <w:sz w:val="21"/>
                <w:szCs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承担专业教学课程（门）</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其中：专业核心课程（门）</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1"/>
              </w:rPr>
              <w:t>2</w:t>
            </w:r>
          </w:p>
        </w:tc>
      </w:tr>
    </w:tbl>
    <w:p>
      <w:pPr>
        <w:spacing w:line="360" w:lineRule="auto"/>
        <w:rPr>
          <w:rFonts w:ascii="Times New Roman Regular" w:hAnsi="Times New Roman Regular" w:cs="Times New Roman Regular"/>
        </w:rPr>
      </w:pPr>
      <w:bookmarkStart w:id="11" w:name="_TOC_250064"/>
      <w:bookmarkEnd w:id="11"/>
      <w:bookmarkStart w:id="12" w:name="_TOC_250067"/>
      <w:bookmarkEnd w:id="12"/>
    </w:p>
    <w:p>
      <w:pPr>
        <w:pStyle w:val="4"/>
        <w:spacing w:line="360" w:lineRule="auto"/>
        <w:rPr>
          <w:rFonts w:ascii="Times New Roman Regular" w:hAnsi="Times New Roman Regular" w:eastAsia="宋体" w:cs="Times New Roman Regular"/>
          <w:sz w:val="24"/>
          <w:szCs w:val="24"/>
        </w:rPr>
      </w:pPr>
      <w:bookmarkStart w:id="13" w:name="_Toc260080163"/>
      <w:r>
        <w:rPr>
          <w:rFonts w:ascii="Times New Roman Regular" w:hAnsi="Times New Roman Regular" w:eastAsia="宋体" w:cs="Times New Roman Regular"/>
          <w:sz w:val="24"/>
          <w:szCs w:val="24"/>
        </w:rPr>
        <w:t>1.2人才培养目标</w:t>
      </w:r>
      <w:bookmarkEnd w:id="13"/>
    </w:p>
    <w:p>
      <w:pPr>
        <w:pStyle w:val="5"/>
        <w:spacing w:before="0" w:after="0" w:line="360" w:lineRule="auto"/>
        <w:rPr>
          <w:rFonts w:ascii="Times New Roman Regular" w:hAnsi="Times New Roman Regular" w:eastAsia="宋体" w:cs="Times New Roman Regular"/>
          <w:b w:val="0"/>
          <w:bCs w:val="0"/>
          <w:sz w:val="24"/>
          <w:szCs w:val="24"/>
        </w:rPr>
      </w:pPr>
      <w:r>
        <w:rPr>
          <w:rFonts w:ascii="Times New Roman Regular" w:hAnsi="Times New Roman Regular" w:eastAsia="宋体" w:cs="Times New Roman Regular"/>
          <w:b w:val="0"/>
          <w:bCs w:val="0"/>
          <w:sz w:val="24"/>
          <w:szCs w:val="24"/>
        </w:rPr>
        <w:t>1.2.1专业定位，与国内外类似专业的比较，国内外对标专业，专业建设规划</w:t>
      </w:r>
    </w:p>
    <w:p>
      <w:pPr>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（1）专业定位</w:t>
      </w:r>
    </w:p>
    <w:p>
      <w:pPr>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本专业瞄准国家现代供应链发展方向，以长三角一体化战略为契机，结合社会经济发展需求及学校、学院的发展规划,积极对接长三角和上海地区优先发展先进制造业、战略性新兴产业、现代服务业和现代物流业的战略需求，以管理学、经济学和现代物流学知识为理论基础，以国际物流为专业特色，构建面向“大运输”的现代物流管理人才所必备的知识和能力体系，培养具备创新精神与实践能力的高素质人才。</w:t>
      </w:r>
    </w:p>
    <w:p>
      <w:pPr>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（2）国内外专业比较与对标专业</w:t>
      </w:r>
    </w:p>
    <w:p>
      <w:pPr>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物流学科既是一门管理学综合学科，又是一门技术与经济相结合的交叉学科。物流产业既是一个跨行业、跨部门的复合产业，又是一个劳动密集型和技术密集型相结合的产业。发展物流产业，不仅需要高级物流管理人才，更需要大量物流执行型与操作型人才。目前，我国物流人才教育培训工作已取得重大进展，开设物流本、专科教育的大专院校近千所，全国物流教学指导委员会已经成立。</w:t>
      </w:r>
    </w:p>
    <w:p>
      <w:pPr>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物流管理专业选择了国内外相关学校进行对标学习，佐治亚南方大学物流管理专业注重学生与物流企业交流，提供实习，到物流企业进行实地考察，以及参加全国性和区域性物流会议的机会，提高学生的实践经验。上海对外经贸大学物流管理专业侧重国际贸易、国际物流，注重专业学生英语能力的培养，多门课程采取双语教学。上海工程技术大学物流管理专业强调课程的完整体系，突出国际物流和冷链物流，注重实践教学环节。</w:t>
      </w:r>
    </w:p>
    <w:p>
      <w:pPr>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（3）专业建设规划</w:t>
      </w:r>
    </w:p>
    <w:p>
      <w:pPr>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物流管理专业以《管理学院“十三五”发展规划》为指导，制定了《物流管理专业建设规划》及《物流实验室建设规划》。经过数年的建设与发展，专业特色逐步显现，师资队伍进一步增强、教师科研水平显著提高，学生培养水平得到了进一步的提升。</w:t>
      </w:r>
    </w:p>
    <w:p>
      <w:pPr>
        <w:pStyle w:val="5"/>
        <w:spacing w:before="0" w:after="0" w:line="360" w:lineRule="auto"/>
        <w:rPr>
          <w:rFonts w:ascii="Times New Roman Regular" w:hAnsi="Times New Roman Regular" w:eastAsia="宋体" w:cs="Times New Roman Regular"/>
          <w:b w:val="0"/>
          <w:bCs w:val="0"/>
          <w:sz w:val="24"/>
          <w:szCs w:val="24"/>
        </w:rPr>
      </w:pPr>
      <w:r>
        <w:rPr>
          <w:rFonts w:ascii="Times New Roman Regular" w:hAnsi="Times New Roman Regular" w:eastAsia="宋体" w:cs="Times New Roman Regular"/>
          <w:b w:val="0"/>
          <w:bCs w:val="0"/>
          <w:sz w:val="24"/>
          <w:szCs w:val="24"/>
        </w:rPr>
        <w:t>1.2.2 专业人才培养目标及制定和修改依据</w:t>
      </w:r>
    </w:p>
    <w:p>
      <w:pPr>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（1）专业人才培养目标</w:t>
      </w:r>
    </w:p>
    <w:p>
      <w:pPr>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本专业培养树立社会主义核心价值观、具有高度的社会责任感和使命感、适应我国社会经济发展需要，具有宽广开放的国际视野、较好的创新精神和实践能力，具有坚实的外语、数学、计算机基础，扎实的经济、管理、信息、系统科学及相关学科理论基础，熟悉物流管理业务及法律法规，掌握物流管理理论知识和现代物流运作规律，具备全球化运作管理能力，能够在各类工商企、事业单位中从事物流系统优化、物流业务运作及物流管理的高等应用型物流管理人才。</w:t>
      </w:r>
    </w:p>
    <w:p>
      <w:pPr>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（2）制定和修改依据</w:t>
      </w:r>
    </w:p>
    <w:p>
      <w:pPr>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本专业在近几年的培养方案制和修改过程中能够始终坚持遵循教育部和上海市教委对专业规范的具体要求，以《高等学校物流管理本科指导性专业规范》为指导，同时坚持调研国内外著名院校和同类院校相关专业的培养方案，进行充分比较，批判借鉴而制定，注重形成鲜明的自身特色。</w:t>
      </w:r>
    </w:p>
    <w:p>
      <w:pPr>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本专业培养方案在总体上划分为“三个知识模块+实践环节”。每一模块都有与总体培养目标相适应的教学或训练要求，它们在执行过程中相互支持和渗透，形成一个有机的整体。本专业实行“全学分制培养计划”，在基础大平台下突出专业特色。</w:t>
      </w:r>
    </w:p>
    <w:p>
      <w:pPr>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培养计划在满足人才培养目标和培养规格基本要求的前提下，通过整合课程内容、优化课程体系和知识结构等途径，适度减少学时和学分，为学生个性发展预留更大的空间。增设冷链工程实施、冷链物流管理概论、冷链设计与案例、冷链物流系统风险管理等冷链相关专业课程，进一步明确了专业特色与方向。</w:t>
      </w:r>
    </w:p>
    <w:p>
      <w:pPr>
        <w:pStyle w:val="5"/>
        <w:spacing w:before="0" w:after="0" w:line="360" w:lineRule="auto"/>
        <w:rPr>
          <w:rFonts w:ascii="Times New Roman Regular" w:hAnsi="Times New Roman Regular" w:eastAsia="宋体" w:cs="Times New Roman Regular"/>
          <w:sz w:val="24"/>
          <w:szCs w:val="24"/>
        </w:rPr>
      </w:pPr>
      <w:r>
        <w:rPr>
          <w:rFonts w:ascii="Times New Roman Regular" w:hAnsi="Times New Roman Regular" w:eastAsia="宋体" w:cs="Times New Roman Regular"/>
          <w:b w:val="0"/>
          <w:bCs w:val="0"/>
          <w:sz w:val="24"/>
          <w:szCs w:val="24"/>
        </w:rPr>
        <w:t>1.2.3. 专业教学计划，学分、学时设置情况</w:t>
      </w:r>
    </w:p>
    <w:p>
      <w:pPr>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本专业基本学制4年，学生可在3至6年内完成学业。学生在规定的学习年限内修满培养计划规定的各教学模块的学分，总学分达到153学分,方能毕业。其中各类必修学分达到106学分，选修学分达到47学分(含第二课堂4学分)，方能毕业。</w:t>
      </w:r>
    </w:p>
    <w:p>
      <w:pPr>
        <w:spacing w:line="360" w:lineRule="auto"/>
        <w:jc w:val="center"/>
        <w:rPr>
          <w:rFonts w:ascii="Times New Roman Regular" w:hAnsi="Times New Roman Regular" w:cs="Times New Roman Regular"/>
        </w:rPr>
      </w:pPr>
      <w:r>
        <w:rPr>
          <w:rFonts w:ascii="Times New Roman Regular" w:hAnsi="Times New Roman Regular" w:cs="Times New Roman Regular"/>
        </w:rPr>
        <w:t>表1-2专业教学计划，学分、学时设置情况</w:t>
      </w:r>
    </w:p>
    <w:tbl>
      <w:tblPr>
        <w:tblStyle w:val="17"/>
        <w:tblW w:w="5059" w:type="pct"/>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autofit"/>
        <w:tblCellMar>
          <w:top w:w="15" w:type="dxa"/>
          <w:left w:w="15" w:type="dxa"/>
          <w:bottom w:w="15" w:type="dxa"/>
          <w:right w:w="15" w:type="dxa"/>
        </w:tblCellMar>
      </w:tblPr>
      <w:tblGrid>
        <w:gridCol w:w="608"/>
        <w:gridCol w:w="484"/>
        <w:gridCol w:w="724"/>
        <w:gridCol w:w="967"/>
        <w:gridCol w:w="1088"/>
        <w:gridCol w:w="843"/>
        <w:gridCol w:w="933"/>
        <w:gridCol w:w="1282"/>
        <w:gridCol w:w="1505"/>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840" w:hRule="atLeast"/>
          <w:tblHeader/>
        </w:trPr>
        <w:tc>
          <w:tcPr>
            <w:tcW w:w="361" w:type="pc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总学 时</w:t>
            </w:r>
          </w:p>
        </w:tc>
        <w:tc>
          <w:tcPr>
            <w:tcW w:w="287" w:type="pc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总学分</w:t>
            </w:r>
          </w:p>
        </w:tc>
        <w:tc>
          <w:tcPr>
            <w:tcW w:w="429" w:type="pc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必修课学分</w:t>
            </w:r>
          </w:p>
        </w:tc>
        <w:tc>
          <w:tcPr>
            <w:tcW w:w="573" w:type="pc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选修课 学分</w:t>
            </w:r>
          </w:p>
        </w:tc>
        <w:tc>
          <w:tcPr>
            <w:tcW w:w="645" w:type="pc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集中实践环节学分</w:t>
            </w:r>
          </w:p>
        </w:tc>
        <w:tc>
          <w:tcPr>
            <w:tcW w:w="500" w:type="pc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课内教学学分</w:t>
            </w:r>
          </w:p>
        </w:tc>
        <w:tc>
          <w:tcPr>
            <w:tcW w:w="553" w:type="pc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实验教学学分</w:t>
            </w:r>
          </w:p>
        </w:tc>
        <w:tc>
          <w:tcPr>
            <w:tcW w:w="760" w:type="pc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课外科技活动学分</w:t>
            </w:r>
          </w:p>
        </w:tc>
        <w:tc>
          <w:tcPr>
            <w:tcW w:w="893" w:type="pc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实践教学学分比例（%）</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265" w:hRule="atLeast"/>
        </w:trPr>
        <w:tc>
          <w:tcPr>
            <w:tcW w:w="361" w:type="pct"/>
            <w:shd w:val="clear" w:color="auto" w:fill="FFFFFF"/>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2952</w:t>
            </w:r>
          </w:p>
        </w:tc>
        <w:tc>
          <w:tcPr>
            <w:tcW w:w="287" w:type="pct"/>
            <w:shd w:val="clear" w:color="auto" w:fill="FFFFFF"/>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153</w:t>
            </w:r>
          </w:p>
        </w:tc>
        <w:tc>
          <w:tcPr>
            <w:tcW w:w="429" w:type="pct"/>
            <w:shd w:val="clear" w:color="auto" w:fill="FFFFFF"/>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106</w:t>
            </w:r>
          </w:p>
        </w:tc>
        <w:tc>
          <w:tcPr>
            <w:tcW w:w="573" w:type="pct"/>
            <w:shd w:val="clear" w:color="auto" w:fill="FFFFFF"/>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47</w:t>
            </w:r>
          </w:p>
        </w:tc>
        <w:tc>
          <w:tcPr>
            <w:tcW w:w="645" w:type="pct"/>
            <w:shd w:val="clear" w:color="auto" w:fill="FFFFFF"/>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28</w:t>
            </w:r>
          </w:p>
        </w:tc>
        <w:tc>
          <w:tcPr>
            <w:tcW w:w="500" w:type="pct"/>
            <w:shd w:val="clear" w:color="auto" w:fill="FFFFFF"/>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121</w:t>
            </w:r>
          </w:p>
        </w:tc>
        <w:tc>
          <w:tcPr>
            <w:tcW w:w="553" w:type="pct"/>
            <w:shd w:val="clear" w:color="auto" w:fill="FFFFFF"/>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6.87</w:t>
            </w:r>
          </w:p>
        </w:tc>
        <w:tc>
          <w:tcPr>
            <w:tcW w:w="760" w:type="pct"/>
            <w:shd w:val="clear" w:color="auto" w:fill="FFFFFF"/>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4</w:t>
            </w:r>
          </w:p>
        </w:tc>
        <w:tc>
          <w:tcPr>
            <w:tcW w:w="893" w:type="pct"/>
            <w:shd w:val="clear" w:color="auto" w:fill="FFFFFF"/>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22.79</w:t>
            </w:r>
          </w:p>
        </w:tc>
      </w:tr>
    </w:tbl>
    <w:p>
      <w:pPr>
        <w:pStyle w:val="3"/>
        <w:spacing w:after="120" w:line="360" w:lineRule="auto"/>
        <w:jc w:val="left"/>
        <w:rPr>
          <w:rFonts w:ascii="Times New Roman Regular" w:hAnsi="Times New Roman Regular" w:cs="Times New Roman Regular"/>
          <w:sz w:val="28"/>
          <w:szCs w:val="28"/>
        </w:rPr>
      </w:pPr>
      <w:bookmarkStart w:id="14" w:name="_Toc1038077896"/>
      <w:r>
        <w:rPr>
          <w:rFonts w:ascii="Times New Roman Regular" w:hAnsi="Times New Roman Regular" w:cs="Times New Roman Regular"/>
          <w:sz w:val="28"/>
          <w:szCs w:val="28"/>
        </w:rPr>
        <w:t>2.毕业要求</w:t>
      </w:r>
      <w:bookmarkEnd w:id="14"/>
    </w:p>
    <w:p>
      <w:pPr>
        <w:widowControl w:val="0"/>
        <w:spacing w:line="360" w:lineRule="auto"/>
        <w:ind w:firstLine="480" w:firstLineChars="200"/>
        <w:jc w:val="both"/>
        <w:rPr>
          <w:rFonts w:ascii="Times New Roman Regular" w:hAnsi="Times New Roman Regular" w:cs="Times New Roman Regular"/>
          <w:kern w:val="2"/>
        </w:rPr>
      </w:pPr>
      <w:r>
        <w:rPr>
          <w:rFonts w:ascii="Times New Roman Regular" w:hAnsi="Times New Roman Regular" w:cs="Times New Roman Regular"/>
          <w:kern w:val="2"/>
        </w:rPr>
        <w:t>本专业要求学生学习物流管理的基本理论和基础知识；接受物流管理能力的系统培养；接受物流运作管理基本方法与技能的基本训练；具备综合运用所学知识进行系统分析、解决物流领域相关问题的能力。</w:t>
      </w:r>
    </w:p>
    <w:p>
      <w:pPr>
        <w:widowControl w:val="0"/>
        <w:spacing w:line="360" w:lineRule="auto"/>
        <w:ind w:firstLine="480" w:firstLineChars="200"/>
        <w:jc w:val="both"/>
        <w:rPr>
          <w:rFonts w:ascii="Times New Roman Regular" w:hAnsi="Times New Roman Regular" w:cs="Times New Roman Regular"/>
          <w:kern w:val="2"/>
        </w:rPr>
      </w:pPr>
      <w:r>
        <w:rPr>
          <w:rFonts w:ascii="Times New Roman Regular" w:hAnsi="Times New Roman Regular" w:cs="Times New Roman Regular"/>
          <w:kern w:val="2"/>
        </w:rPr>
        <w:t>毕业生须获得以下几方面的知识和能力：</w:t>
      </w:r>
    </w:p>
    <w:p>
      <w:pPr>
        <w:widowControl w:val="0"/>
        <w:spacing w:line="360" w:lineRule="auto"/>
        <w:ind w:firstLine="480" w:firstLineChars="200"/>
        <w:jc w:val="both"/>
        <w:rPr>
          <w:rFonts w:ascii="Times New Roman Regular" w:hAnsi="Times New Roman Regular" w:cs="Times New Roman Regular"/>
          <w:kern w:val="2"/>
        </w:rPr>
      </w:pPr>
      <w:r>
        <w:rPr>
          <w:rFonts w:ascii="Times New Roman Regular" w:hAnsi="Times New Roman Regular" w:cs="Times New Roman Regular"/>
          <w:kern w:val="2"/>
        </w:rPr>
        <w:t>（一）具有良好的科学人文素养和国际视野，较强的创新精神和创业意识，扎实的实践能力，良好的心理素质和健康的体魄；</w:t>
      </w:r>
    </w:p>
    <w:p>
      <w:pPr>
        <w:widowControl w:val="0"/>
        <w:spacing w:line="360" w:lineRule="auto"/>
        <w:ind w:firstLine="480" w:firstLineChars="200"/>
        <w:jc w:val="both"/>
        <w:rPr>
          <w:rFonts w:ascii="Times New Roman Regular" w:hAnsi="Times New Roman Regular" w:cs="Times New Roman Regular"/>
          <w:kern w:val="2"/>
        </w:rPr>
      </w:pPr>
      <w:r>
        <w:rPr>
          <w:rFonts w:ascii="Times New Roman Regular" w:hAnsi="Times New Roman Regular" w:cs="Times New Roman Regular"/>
          <w:kern w:val="2"/>
        </w:rPr>
        <w:t>（二）了解国内外物流产业发展历程、现状、趋势和学科前沿，了解相关政策法规，有一定的职业意识，认识物流业在经济与社会发展中的重要地位和作用；</w:t>
      </w:r>
    </w:p>
    <w:p>
      <w:pPr>
        <w:widowControl w:val="0"/>
        <w:spacing w:line="360" w:lineRule="auto"/>
        <w:ind w:firstLine="480" w:firstLineChars="200"/>
        <w:jc w:val="both"/>
        <w:rPr>
          <w:rFonts w:ascii="Times New Roman Regular" w:hAnsi="Times New Roman Regular" w:cs="Times New Roman Regular"/>
          <w:kern w:val="2"/>
        </w:rPr>
      </w:pPr>
      <w:r>
        <w:rPr>
          <w:rFonts w:ascii="Times New Roman Regular" w:hAnsi="Times New Roman Regular" w:cs="Times New Roman Regular"/>
          <w:kern w:val="2"/>
        </w:rPr>
        <w:t>（三）掌握供应链管理基本理论和方法、物流系统基本理论与运营管理基本方法、物流工程与装备的开发与应用技术、采购管理基本理论与方法；</w:t>
      </w:r>
    </w:p>
    <w:p>
      <w:pPr>
        <w:widowControl w:val="0"/>
        <w:spacing w:line="360" w:lineRule="auto"/>
        <w:ind w:firstLine="480" w:firstLineChars="200"/>
        <w:jc w:val="both"/>
        <w:rPr>
          <w:rFonts w:ascii="Times New Roman Regular" w:hAnsi="Times New Roman Regular" w:cs="Times New Roman Regular"/>
          <w:kern w:val="2"/>
        </w:rPr>
      </w:pPr>
      <w:r>
        <w:rPr>
          <w:rFonts w:ascii="Times New Roman Regular" w:hAnsi="Times New Roman Regular" w:cs="Times New Roman Regular"/>
          <w:kern w:val="2"/>
        </w:rPr>
        <w:t>（四）掌握本专业所需的管理学、经济学等相关学科的基础知识，具备一定的物流实操能力；</w:t>
      </w:r>
    </w:p>
    <w:p>
      <w:pPr>
        <w:widowControl w:val="0"/>
        <w:spacing w:line="360" w:lineRule="auto"/>
        <w:ind w:firstLine="480" w:firstLineChars="200"/>
        <w:jc w:val="both"/>
        <w:rPr>
          <w:rFonts w:ascii="Times New Roman Regular" w:hAnsi="Times New Roman Regular" w:cs="Times New Roman Regular"/>
          <w:kern w:val="2"/>
        </w:rPr>
      </w:pPr>
      <w:r>
        <w:rPr>
          <w:rFonts w:ascii="Times New Roman Regular" w:hAnsi="Times New Roman Regular" w:cs="Times New Roman Regular"/>
          <w:kern w:val="2"/>
        </w:rPr>
        <w:t>（五）具有较宽广的国际视野，具有一定的创新能力和对新知识的主动获取能力；</w:t>
      </w:r>
    </w:p>
    <w:p>
      <w:pPr>
        <w:widowControl w:val="0"/>
        <w:spacing w:line="360" w:lineRule="auto"/>
        <w:ind w:firstLine="480" w:firstLineChars="200"/>
        <w:jc w:val="both"/>
        <w:rPr>
          <w:rFonts w:ascii="Times New Roman Regular" w:hAnsi="Times New Roman Regular" w:cs="Times New Roman Regular"/>
          <w:kern w:val="2"/>
        </w:rPr>
      </w:pPr>
      <w:r>
        <w:rPr>
          <w:rFonts w:ascii="Times New Roman Regular" w:hAnsi="Times New Roman Regular" w:cs="Times New Roman Regular"/>
          <w:kern w:val="2"/>
        </w:rPr>
        <w:t>（六）掌握物流管理的定性、定量分析方法，分析、解决企业物流管理工作问题的基本能力；</w:t>
      </w:r>
    </w:p>
    <w:p>
      <w:pPr>
        <w:widowControl w:val="0"/>
        <w:spacing w:line="360" w:lineRule="auto"/>
        <w:ind w:firstLine="480" w:firstLineChars="200"/>
        <w:jc w:val="both"/>
        <w:rPr>
          <w:rFonts w:ascii="Times New Roman Regular" w:hAnsi="Times New Roman Regular" w:cs="Times New Roman Regular"/>
          <w:kern w:val="2"/>
        </w:rPr>
      </w:pPr>
      <w:r>
        <w:rPr>
          <w:rFonts w:ascii="Times New Roman Regular" w:hAnsi="Times New Roman Regular" w:cs="Times New Roman Regular"/>
          <w:kern w:val="2"/>
        </w:rPr>
        <w:t>（七）掌握文献检索、资料查询和调研分析的基本方法，具有初步科学研究和实际工作能力；</w:t>
      </w:r>
    </w:p>
    <w:p>
      <w:pPr>
        <w:widowControl w:val="0"/>
        <w:spacing w:line="360" w:lineRule="auto"/>
        <w:ind w:firstLine="480" w:firstLineChars="200"/>
        <w:jc w:val="both"/>
        <w:rPr>
          <w:rFonts w:ascii="Times New Roman Regular" w:hAnsi="Times New Roman Regular" w:cs="Times New Roman Regular"/>
          <w:kern w:val="2"/>
        </w:rPr>
      </w:pPr>
      <w:r>
        <w:rPr>
          <w:rFonts w:ascii="Times New Roman Regular" w:hAnsi="Times New Roman Regular" w:cs="Times New Roman Regular"/>
          <w:kern w:val="2"/>
        </w:rPr>
        <w:t>（八）熟练地掌握一门外语，能利用该外语阅读本专业的外文书刊，并具备听、说、读、写能力；</w:t>
      </w:r>
    </w:p>
    <w:p>
      <w:pPr>
        <w:widowControl w:val="0"/>
        <w:spacing w:line="360" w:lineRule="auto"/>
        <w:ind w:firstLine="480" w:firstLineChars="200"/>
        <w:jc w:val="both"/>
        <w:rPr>
          <w:rFonts w:ascii="Times New Roman Regular" w:hAnsi="Times New Roman Regular" w:cs="Times New Roman Regular"/>
          <w:kern w:val="2"/>
        </w:rPr>
      </w:pPr>
      <w:r>
        <w:rPr>
          <w:rFonts w:ascii="Times New Roman Regular" w:hAnsi="Times New Roman Regular" w:cs="Times New Roman Regular"/>
          <w:kern w:val="2"/>
        </w:rPr>
        <w:t>（九）掌握计算机原理，熟练使用办公自动化软件，并能对常用管理模型进行程序设计。</w:t>
      </w:r>
    </w:p>
    <w:p>
      <w:pPr>
        <w:pStyle w:val="3"/>
        <w:spacing w:after="120" w:line="360" w:lineRule="auto"/>
        <w:jc w:val="left"/>
        <w:rPr>
          <w:rFonts w:ascii="Times New Roman Regular" w:hAnsi="Times New Roman Regular" w:cs="Times New Roman Regular"/>
          <w:sz w:val="28"/>
          <w:szCs w:val="28"/>
        </w:rPr>
      </w:pPr>
      <w:bookmarkStart w:id="15" w:name="_Toc818049844"/>
      <w:r>
        <w:rPr>
          <w:rFonts w:ascii="Times New Roman Regular" w:hAnsi="Times New Roman Regular" w:cs="Times New Roman Regular"/>
          <w:sz w:val="28"/>
          <w:szCs w:val="28"/>
        </w:rPr>
        <w:t>3.培养情况</w:t>
      </w:r>
      <w:bookmarkEnd w:id="15"/>
      <w:r>
        <w:rPr>
          <w:rFonts w:ascii="Times New Roman Regular" w:hAnsi="Times New Roman Regular" w:cs="Times New Roman Regular"/>
          <w:sz w:val="28"/>
          <w:szCs w:val="28"/>
        </w:rPr>
        <w:t xml:space="preserve"> </w:t>
      </w:r>
    </w:p>
    <w:p>
      <w:pPr>
        <w:pStyle w:val="4"/>
        <w:spacing w:line="360" w:lineRule="auto"/>
        <w:rPr>
          <w:rFonts w:ascii="Times New Roman Regular" w:hAnsi="Times New Roman Regular" w:eastAsia="宋体" w:cs="Times New Roman Regular"/>
          <w:sz w:val="24"/>
          <w:szCs w:val="24"/>
        </w:rPr>
      </w:pPr>
      <w:bookmarkStart w:id="16" w:name="_Toc773420014"/>
      <w:r>
        <w:rPr>
          <w:rFonts w:ascii="Times New Roman Regular" w:hAnsi="Times New Roman Regular" w:eastAsia="宋体" w:cs="Times New Roman Regular"/>
          <w:sz w:val="24"/>
          <w:szCs w:val="24"/>
        </w:rPr>
        <w:t>3.1专业建设情况</w:t>
      </w:r>
      <w:bookmarkEnd w:id="16"/>
    </w:p>
    <w:p>
      <w:pPr>
        <w:shd w:val="clear" w:color="auto" w:fill="FFFFFF"/>
        <w:adjustRightInd w:val="0"/>
        <w:snapToGrid w:val="0"/>
        <w:spacing w:line="360" w:lineRule="auto"/>
        <w:ind w:firstLine="600" w:firstLineChars="250"/>
        <w:contextualSpacing/>
        <w:jc w:val="both"/>
        <w:rPr>
          <w:rFonts w:ascii="Times New Roman Regular" w:hAnsi="Times New Roman Regular" w:cs="Times New Roman Regular"/>
          <w:color w:val="333333"/>
        </w:rPr>
      </w:pPr>
      <w:r>
        <w:rPr>
          <w:rFonts w:ascii="Times New Roman Regular" w:hAnsi="Times New Roman Regular" w:cs="Times New Roman Regular"/>
          <w:color w:val="333333"/>
        </w:rPr>
        <w:t>2022-2023教学年度，物流管理专业教师开设课程40门次。开设的《经管类（物流管理）专业导论课》中，物流管理专业教师“齐上阵”，为大一新生讲解课程架构、就业导向、专业特色，不仅激发学生对物流管理专业的热爱,而且能帮助他们更好地学习这个专业。专业教师获国家、市、校级精品课程、重点课程、双语课程、全英语课程建设项目合计7项。</w:t>
      </w:r>
    </w:p>
    <w:p>
      <w:pPr>
        <w:shd w:val="clear" w:color="auto" w:fill="FFFFFF"/>
        <w:adjustRightInd w:val="0"/>
        <w:snapToGrid w:val="0"/>
        <w:spacing w:line="360" w:lineRule="auto"/>
        <w:ind w:firstLine="600" w:firstLineChars="250"/>
        <w:contextualSpacing/>
        <w:jc w:val="both"/>
        <w:rPr>
          <w:rFonts w:ascii="Times New Roman Regular" w:hAnsi="Times New Roman Regular" w:cs="Times New Roman Regular"/>
          <w:color w:val="333333"/>
          <w:highlight w:val="yellow"/>
        </w:rPr>
      </w:pPr>
    </w:p>
    <w:p>
      <w:pPr>
        <w:shd w:val="clear" w:color="auto" w:fill="FFFFFF"/>
        <w:adjustRightInd w:val="0"/>
        <w:snapToGrid w:val="0"/>
        <w:spacing w:line="360" w:lineRule="auto"/>
        <w:contextualSpacing/>
        <w:jc w:val="center"/>
        <w:rPr>
          <w:rFonts w:ascii="Times New Roman Regular" w:hAnsi="Times New Roman Regular" w:cs="Times New Roman Regular"/>
          <w:color w:val="333333"/>
        </w:rPr>
      </w:pPr>
      <w:r>
        <w:rPr>
          <w:rFonts w:ascii="Times New Roman Regular" w:hAnsi="Times New Roman Regular" w:cs="Times New Roman Regular"/>
        </w:rPr>
        <w:t>表3-1 获国家、市、校级精品课程、重点课程、双语课程、全英语课程建设</w:t>
      </w:r>
    </w:p>
    <w:tbl>
      <w:tblPr>
        <w:tblStyle w:val="17"/>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79"/>
        <w:gridCol w:w="1768"/>
        <w:gridCol w:w="1067"/>
        <w:gridCol w:w="863"/>
        <w:gridCol w:w="1101"/>
        <w:gridCol w:w="145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9"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序号</w:t>
            </w:r>
          </w:p>
        </w:tc>
        <w:tc>
          <w:tcPr>
            <w:tcW w:w="1768"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课程名称</w:t>
            </w:r>
          </w:p>
        </w:tc>
        <w:tc>
          <w:tcPr>
            <w:tcW w:w="1067"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责任人</w:t>
            </w:r>
          </w:p>
        </w:tc>
        <w:tc>
          <w:tcPr>
            <w:tcW w:w="863"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级别</w:t>
            </w:r>
          </w:p>
        </w:tc>
        <w:tc>
          <w:tcPr>
            <w:tcW w:w="1101" w:type="dxa"/>
            <w:shd w:val="clear" w:color="auto" w:fill="FFFFFF" w:themeFill="background1"/>
            <w:vAlign w:val="center"/>
          </w:tcPr>
          <w:p>
            <w:pPr>
              <w:adjustRightInd w:val="0"/>
              <w:snapToGrid w:val="0"/>
              <w:spacing w:line="360" w:lineRule="auto"/>
              <w:ind w:left="60"/>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类别</w:t>
            </w:r>
          </w:p>
        </w:tc>
        <w:tc>
          <w:tcPr>
            <w:tcW w:w="1450"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起讫时间</w:t>
            </w:r>
          </w:p>
        </w:tc>
        <w:tc>
          <w:tcPr>
            <w:tcW w:w="1134"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上级拨款</w:t>
            </w:r>
          </w:p>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（万元）</w:t>
            </w:r>
          </w:p>
        </w:tc>
        <w:tc>
          <w:tcPr>
            <w:tcW w:w="1134"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校内配套</w:t>
            </w:r>
          </w:p>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03" w:hRule="atLeast"/>
          <w:jc w:val="center"/>
        </w:trPr>
        <w:tc>
          <w:tcPr>
            <w:tcW w:w="779"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w:t>
            </w:r>
          </w:p>
        </w:tc>
        <w:tc>
          <w:tcPr>
            <w:tcW w:w="1768"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国际结算</w:t>
            </w:r>
          </w:p>
        </w:tc>
        <w:tc>
          <w:tcPr>
            <w:tcW w:w="1067"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孟翠翠</w:t>
            </w:r>
          </w:p>
        </w:tc>
        <w:tc>
          <w:tcPr>
            <w:tcW w:w="863"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校级</w:t>
            </w:r>
          </w:p>
        </w:tc>
        <w:tc>
          <w:tcPr>
            <w:tcW w:w="1101"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全英语课程建设</w:t>
            </w:r>
          </w:p>
        </w:tc>
        <w:tc>
          <w:tcPr>
            <w:tcW w:w="1450"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2022-2022</w:t>
            </w:r>
          </w:p>
        </w:tc>
        <w:tc>
          <w:tcPr>
            <w:tcW w:w="1134"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0</w:t>
            </w:r>
          </w:p>
        </w:tc>
        <w:tc>
          <w:tcPr>
            <w:tcW w:w="1134"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03" w:hRule="atLeast"/>
          <w:jc w:val="center"/>
        </w:trPr>
        <w:tc>
          <w:tcPr>
            <w:tcW w:w="779"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1768"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冷链物流管理</w:t>
            </w:r>
          </w:p>
        </w:tc>
        <w:tc>
          <w:tcPr>
            <w:tcW w:w="1067"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宋娟娟</w:t>
            </w:r>
          </w:p>
        </w:tc>
        <w:tc>
          <w:tcPr>
            <w:tcW w:w="863"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校级</w:t>
            </w:r>
          </w:p>
        </w:tc>
        <w:tc>
          <w:tcPr>
            <w:tcW w:w="1101"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课程建设</w:t>
            </w:r>
          </w:p>
        </w:tc>
        <w:tc>
          <w:tcPr>
            <w:tcW w:w="1450"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2022-2023</w:t>
            </w:r>
          </w:p>
        </w:tc>
        <w:tc>
          <w:tcPr>
            <w:tcW w:w="1134"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0</w:t>
            </w:r>
          </w:p>
        </w:tc>
        <w:tc>
          <w:tcPr>
            <w:tcW w:w="1134"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79"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w:t>
            </w:r>
          </w:p>
        </w:tc>
        <w:tc>
          <w:tcPr>
            <w:tcW w:w="1768"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lang w:bidi="ar"/>
              </w:rPr>
            </w:pPr>
            <w:r>
              <w:rPr>
                <w:rFonts w:ascii="Times New Roman Regular" w:hAnsi="Times New Roman Regular" w:cs="Times New Roman Regular"/>
                <w:sz w:val="21"/>
                <w:szCs w:val="21"/>
                <w:lang w:bidi="ar"/>
              </w:rPr>
              <w:t>物流工程</w:t>
            </w:r>
          </w:p>
        </w:tc>
        <w:tc>
          <w:tcPr>
            <w:tcW w:w="1067"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lang w:bidi="ar"/>
              </w:rPr>
            </w:pPr>
            <w:r>
              <w:rPr>
                <w:rFonts w:ascii="Times New Roman Regular" w:hAnsi="Times New Roman Regular" w:cs="Times New Roman Regular"/>
                <w:sz w:val="21"/>
                <w:szCs w:val="21"/>
                <w:lang w:bidi="ar"/>
              </w:rPr>
              <w:t>季晓东</w:t>
            </w:r>
          </w:p>
        </w:tc>
        <w:tc>
          <w:tcPr>
            <w:tcW w:w="863"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lang w:bidi="ar"/>
              </w:rPr>
            </w:pPr>
            <w:r>
              <w:rPr>
                <w:rFonts w:ascii="Times New Roman Regular" w:hAnsi="Times New Roman Regular" w:cs="Times New Roman Regular"/>
                <w:sz w:val="21"/>
                <w:szCs w:val="21"/>
                <w:lang w:bidi="ar"/>
              </w:rPr>
              <w:t>校级</w:t>
            </w:r>
          </w:p>
        </w:tc>
        <w:tc>
          <w:tcPr>
            <w:tcW w:w="1101"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lang w:bidi="ar"/>
              </w:rPr>
            </w:pPr>
            <w:r>
              <w:rPr>
                <w:rFonts w:ascii="Times New Roman Regular" w:hAnsi="Times New Roman Regular" w:cs="Times New Roman Regular"/>
                <w:sz w:val="21"/>
                <w:szCs w:val="21"/>
                <w:lang w:bidi="ar"/>
              </w:rPr>
              <w:t>课程建设</w:t>
            </w:r>
          </w:p>
        </w:tc>
        <w:tc>
          <w:tcPr>
            <w:tcW w:w="1450"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lang w:bidi="ar"/>
              </w:rPr>
            </w:pPr>
            <w:r>
              <w:rPr>
                <w:rFonts w:ascii="Times New Roman Regular" w:hAnsi="Times New Roman Regular" w:cs="Times New Roman Regular"/>
                <w:sz w:val="21"/>
                <w:szCs w:val="21"/>
                <w:lang w:bidi="ar"/>
              </w:rPr>
              <w:t>2021-2022</w:t>
            </w:r>
          </w:p>
        </w:tc>
        <w:tc>
          <w:tcPr>
            <w:tcW w:w="1134"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lang w:bidi="ar"/>
              </w:rPr>
            </w:pPr>
            <w:r>
              <w:rPr>
                <w:rFonts w:ascii="Times New Roman Regular" w:hAnsi="Times New Roman Regular" w:cs="Times New Roman Regular"/>
                <w:sz w:val="21"/>
                <w:szCs w:val="21"/>
                <w:lang w:bidi="ar"/>
              </w:rPr>
              <w:t>1</w:t>
            </w:r>
          </w:p>
        </w:tc>
        <w:tc>
          <w:tcPr>
            <w:tcW w:w="1134"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lang w:bidi="ar"/>
              </w:rPr>
            </w:pPr>
            <w:r>
              <w:rPr>
                <w:rFonts w:ascii="Times New Roman Regular" w:hAnsi="Times New Roman Regular" w:cs="Times New Roman Regular"/>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79"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4</w:t>
            </w:r>
          </w:p>
        </w:tc>
        <w:tc>
          <w:tcPr>
            <w:tcW w:w="1768" w:type="dxa"/>
            <w:shd w:val="clear" w:color="auto" w:fill="FFFFFF" w:themeFill="background1"/>
            <w:vAlign w:val="center"/>
          </w:tcPr>
          <w:p>
            <w:pPr>
              <w:spacing w:line="360" w:lineRule="auto"/>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“新文科”背景下冷链物流特色人才创新能力培养模式构建与实践研究</w:t>
            </w:r>
          </w:p>
        </w:tc>
        <w:tc>
          <w:tcPr>
            <w:tcW w:w="1067"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赵程程</w:t>
            </w:r>
          </w:p>
        </w:tc>
        <w:tc>
          <w:tcPr>
            <w:tcW w:w="863"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校级</w:t>
            </w:r>
          </w:p>
        </w:tc>
        <w:tc>
          <w:tcPr>
            <w:tcW w:w="1101"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教学研究</w:t>
            </w:r>
          </w:p>
        </w:tc>
        <w:tc>
          <w:tcPr>
            <w:tcW w:w="1450"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2021-2022</w:t>
            </w:r>
          </w:p>
        </w:tc>
        <w:tc>
          <w:tcPr>
            <w:tcW w:w="1134"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1</w:t>
            </w:r>
          </w:p>
        </w:tc>
        <w:tc>
          <w:tcPr>
            <w:tcW w:w="1134"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79"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w:t>
            </w:r>
          </w:p>
        </w:tc>
        <w:tc>
          <w:tcPr>
            <w:tcW w:w="1768"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《供应链与企业物流实践》教材建设</w:t>
            </w:r>
          </w:p>
        </w:tc>
        <w:tc>
          <w:tcPr>
            <w:tcW w:w="1067"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赵程程</w:t>
            </w:r>
          </w:p>
        </w:tc>
        <w:tc>
          <w:tcPr>
            <w:tcW w:w="863"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校级</w:t>
            </w:r>
          </w:p>
        </w:tc>
        <w:tc>
          <w:tcPr>
            <w:tcW w:w="1101"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产学教材</w:t>
            </w:r>
          </w:p>
        </w:tc>
        <w:tc>
          <w:tcPr>
            <w:tcW w:w="1450"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2022-2024</w:t>
            </w:r>
          </w:p>
        </w:tc>
        <w:tc>
          <w:tcPr>
            <w:tcW w:w="1134"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1</w:t>
            </w:r>
          </w:p>
        </w:tc>
        <w:tc>
          <w:tcPr>
            <w:tcW w:w="1134"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79"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6</w:t>
            </w:r>
          </w:p>
        </w:tc>
        <w:tc>
          <w:tcPr>
            <w:tcW w:w="1768"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lang w:bidi="ar"/>
              </w:rPr>
            </w:pPr>
            <w:r>
              <w:rPr>
                <w:rFonts w:ascii="Times New Roman Regular" w:hAnsi="Times New Roman Regular" w:cs="Times New Roman Regular"/>
                <w:sz w:val="21"/>
                <w:szCs w:val="21"/>
                <w:lang w:bidi="ar"/>
              </w:rPr>
              <w:t>《冷链设计与案例》教材建设</w:t>
            </w:r>
          </w:p>
        </w:tc>
        <w:tc>
          <w:tcPr>
            <w:tcW w:w="1067"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lang w:bidi="ar"/>
              </w:rPr>
            </w:pPr>
            <w:r>
              <w:rPr>
                <w:rFonts w:ascii="Times New Roman Regular" w:hAnsi="Times New Roman Regular" w:cs="Times New Roman Regular"/>
                <w:sz w:val="21"/>
                <w:szCs w:val="21"/>
                <w:lang w:bidi="ar"/>
              </w:rPr>
              <w:t>刘峥，胡斌</w:t>
            </w:r>
          </w:p>
        </w:tc>
        <w:tc>
          <w:tcPr>
            <w:tcW w:w="863"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lang w:bidi="ar"/>
              </w:rPr>
            </w:pPr>
            <w:r>
              <w:rPr>
                <w:rFonts w:ascii="Times New Roman Regular" w:hAnsi="Times New Roman Regular" w:cs="Times New Roman Regular"/>
                <w:sz w:val="21"/>
                <w:szCs w:val="21"/>
                <w:lang w:bidi="ar"/>
              </w:rPr>
              <w:t>校级</w:t>
            </w:r>
          </w:p>
        </w:tc>
        <w:tc>
          <w:tcPr>
            <w:tcW w:w="1101"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lang w:bidi="ar"/>
              </w:rPr>
            </w:pPr>
            <w:r>
              <w:rPr>
                <w:rFonts w:ascii="Times New Roman Regular" w:hAnsi="Times New Roman Regular" w:cs="Times New Roman Regular"/>
                <w:sz w:val="21"/>
                <w:szCs w:val="21"/>
                <w:lang w:bidi="ar"/>
              </w:rPr>
              <w:t>产学教材</w:t>
            </w:r>
          </w:p>
        </w:tc>
        <w:tc>
          <w:tcPr>
            <w:tcW w:w="1450"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lang w:bidi="ar"/>
              </w:rPr>
            </w:pPr>
            <w:r>
              <w:rPr>
                <w:rFonts w:ascii="Times New Roman Regular" w:hAnsi="Times New Roman Regular" w:cs="Times New Roman Regular"/>
                <w:sz w:val="21"/>
                <w:szCs w:val="21"/>
                <w:lang w:bidi="ar"/>
              </w:rPr>
              <w:t>2022-2024</w:t>
            </w:r>
          </w:p>
        </w:tc>
        <w:tc>
          <w:tcPr>
            <w:tcW w:w="1134"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lang w:bidi="ar"/>
              </w:rPr>
            </w:pPr>
            <w:r>
              <w:rPr>
                <w:rFonts w:ascii="Times New Roman Regular" w:hAnsi="Times New Roman Regular" w:cs="Times New Roman Regular"/>
                <w:sz w:val="21"/>
                <w:szCs w:val="21"/>
                <w:lang w:bidi="ar"/>
              </w:rPr>
              <w:t>1</w:t>
            </w:r>
          </w:p>
        </w:tc>
        <w:tc>
          <w:tcPr>
            <w:tcW w:w="1134"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lang w:bidi="ar"/>
              </w:rPr>
            </w:pPr>
            <w:r>
              <w:rPr>
                <w:rFonts w:ascii="Times New Roman Regular" w:hAnsi="Times New Roman Regular" w:cs="Times New Roman Regular"/>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03" w:hRule="atLeast"/>
          <w:jc w:val="center"/>
        </w:trPr>
        <w:tc>
          <w:tcPr>
            <w:tcW w:w="779"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7</w:t>
            </w:r>
          </w:p>
        </w:tc>
        <w:tc>
          <w:tcPr>
            <w:tcW w:w="1768"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lang w:bidi="ar"/>
              </w:rPr>
            </w:pPr>
            <w:r>
              <w:rPr>
                <w:rFonts w:ascii="Times New Roman Regular" w:hAnsi="Times New Roman Regular" w:cs="Times New Roman Regular"/>
                <w:sz w:val="21"/>
                <w:szCs w:val="21"/>
                <w:lang w:bidi="ar"/>
              </w:rPr>
              <w:t>《冷链物流系统风险管理》教材建设</w:t>
            </w:r>
          </w:p>
        </w:tc>
        <w:tc>
          <w:tcPr>
            <w:tcW w:w="1067"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lang w:bidi="ar"/>
              </w:rPr>
            </w:pPr>
            <w:r>
              <w:rPr>
                <w:rFonts w:ascii="Times New Roman Regular" w:hAnsi="Times New Roman Regular" w:cs="Times New Roman Regular"/>
                <w:sz w:val="21"/>
                <w:szCs w:val="21"/>
                <w:lang w:bidi="ar"/>
              </w:rPr>
              <w:t>孟翠翠，刘峥</w:t>
            </w:r>
          </w:p>
        </w:tc>
        <w:tc>
          <w:tcPr>
            <w:tcW w:w="863"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lang w:bidi="ar"/>
              </w:rPr>
            </w:pPr>
            <w:r>
              <w:rPr>
                <w:rFonts w:ascii="Times New Roman Regular" w:hAnsi="Times New Roman Regular" w:cs="Times New Roman Regular"/>
                <w:sz w:val="21"/>
                <w:szCs w:val="21"/>
                <w:lang w:bidi="ar"/>
              </w:rPr>
              <w:t>校级</w:t>
            </w:r>
          </w:p>
        </w:tc>
        <w:tc>
          <w:tcPr>
            <w:tcW w:w="1101"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lang w:bidi="ar"/>
              </w:rPr>
            </w:pPr>
            <w:r>
              <w:rPr>
                <w:rFonts w:ascii="Times New Roman Regular" w:hAnsi="Times New Roman Regular" w:cs="Times New Roman Regular"/>
                <w:sz w:val="21"/>
                <w:szCs w:val="21"/>
                <w:lang w:bidi="ar"/>
              </w:rPr>
              <w:t>产学教材</w:t>
            </w:r>
          </w:p>
        </w:tc>
        <w:tc>
          <w:tcPr>
            <w:tcW w:w="1450"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lang w:bidi="ar"/>
              </w:rPr>
            </w:pPr>
            <w:r>
              <w:rPr>
                <w:rFonts w:ascii="Times New Roman Regular" w:hAnsi="Times New Roman Regular" w:cs="Times New Roman Regular"/>
                <w:sz w:val="21"/>
                <w:szCs w:val="21"/>
                <w:lang w:bidi="ar"/>
              </w:rPr>
              <w:t>2022-2024</w:t>
            </w:r>
          </w:p>
        </w:tc>
        <w:tc>
          <w:tcPr>
            <w:tcW w:w="1134"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lang w:bidi="ar"/>
              </w:rPr>
            </w:pPr>
            <w:r>
              <w:rPr>
                <w:rFonts w:ascii="Times New Roman Regular" w:hAnsi="Times New Roman Regular" w:cs="Times New Roman Regular"/>
                <w:sz w:val="21"/>
                <w:szCs w:val="21"/>
                <w:lang w:bidi="ar"/>
              </w:rPr>
              <w:t>1</w:t>
            </w:r>
          </w:p>
        </w:tc>
        <w:tc>
          <w:tcPr>
            <w:tcW w:w="1134" w:type="dxa"/>
            <w:shd w:val="clear" w:color="auto" w:fill="FFFFFF" w:themeFill="background1"/>
            <w:vAlign w:val="center"/>
          </w:tcPr>
          <w:p>
            <w:pPr>
              <w:spacing w:line="360" w:lineRule="auto"/>
              <w:jc w:val="center"/>
              <w:textAlignment w:val="center"/>
              <w:rPr>
                <w:rFonts w:ascii="Times New Roman Regular" w:hAnsi="Times New Roman Regular" w:cs="Times New Roman Regular"/>
                <w:sz w:val="21"/>
                <w:szCs w:val="21"/>
                <w:lang w:bidi="ar"/>
              </w:rPr>
            </w:pPr>
            <w:r>
              <w:rPr>
                <w:rFonts w:ascii="Times New Roman Regular" w:hAnsi="Times New Roman Regular" w:cs="Times New Roman Regular"/>
                <w:sz w:val="21"/>
                <w:szCs w:val="21"/>
                <w:lang w:bidi="ar"/>
              </w:rPr>
              <w:t>0</w:t>
            </w:r>
          </w:p>
        </w:tc>
      </w:tr>
    </w:tbl>
    <w:p>
      <w:pPr>
        <w:shd w:val="clear" w:color="auto" w:fill="FFFFFF"/>
        <w:adjustRightInd w:val="0"/>
        <w:snapToGrid w:val="0"/>
        <w:spacing w:before="156" w:beforeLines="50" w:line="360" w:lineRule="auto"/>
        <w:contextualSpacing/>
        <w:jc w:val="center"/>
        <w:rPr>
          <w:rFonts w:ascii="Times New Roman Regular" w:hAnsi="Times New Roman Regular" w:cs="Times New Roman Regular"/>
          <w:color w:val="333333"/>
        </w:rPr>
      </w:pPr>
    </w:p>
    <w:p>
      <w:pPr>
        <w:shd w:val="clear" w:color="auto" w:fill="FFFFFF"/>
        <w:adjustRightInd w:val="0"/>
        <w:snapToGrid w:val="0"/>
        <w:spacing w:before="156" w:beforeLines="50" w:line="360" w:lineRule="auto"/>
        <w:contextualSpacing/>
        <w:jc w:val="center"/>
        <w:rPr>
          <w:rFonts w:ascii="Times New Roman Regular" w:hAnsi="Times New Roman Regular" w:cs="Times New Roman Regular"/>
          <w:color w:val="333333"/>
        </w:rPr>
      </w:pPr>
      <w:r>
        <w:rPr>
          <w:rFonts w:ascii="Times New Roman Regular" w:hAnsi="Times New Roman Regular" w:cs="Times New Roman Regular"/>
          <w:color w:val="333333"/>
        </w:rPr>
        <w:t>表3-2 专业生师情况（2022届）</w:t>
      </w:r>
    </w:p>
    <w:tbl>
      <w:tblPr>
        <w:tblStyle w:val="17"/>
        <w:tblW w:w="9215" w:type="dxa"/>
        <w:tblInd w:w="-411"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Layout w:type="fixed"/>
        <w:tblCellMar>
          <w:top w:w="15" w:type="dxa"/>
          <w:left w:w="15" w:type="dxa"/>
          <w:bottom w:w="15" w:type="dxa"/>
          <w:right w:w="15" w:type="dxa"/>
        </w:tblCellMar>
      </w:tblPr>
      <w:tblGrid>
        <w:gridCol w:w="1212"/>
        <w:gridCol w:w="1155"/>
        <w:gridCol w:w="1485"/>
        <w:gridCol w:w="765"/>
        <w:gridCol w:w="1440"/>
        <w:gridCol w:w="1080"/>
        <w:gridCol w:w="2078"/>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CellMar>
            <w:top w:w="15" w:type="dxa"/>
            <w:left w:w="15" w:type="dxa"/>
            <w:bottom w:w="15" w:type="dxa"/>
            <w:right w:w="15" w:type="dxa"/>
          </w:tblCellMar>
        </w:tblPrEx>
        <w:trPr>
          <w:trHeight w:val="505" w:hRule="atLeast"/>
          <w:tblHeader/>
        </w:trPr>
        <w:tc>
          <w:tcPr>
            <w:tcW w:w="3852" w:type="dxa"/>
            <w:gridSpan w:val="3"/>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授课教师</w:t>
            </w:r>
          </w:p>
        </w:tc>
        <w:tc>
          <w:tcPr>
            <w:tcW w:w="765" w:type="dxa"/>
            <w:vMerge w:val="restar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本科学生数</w:t>
            </w:r>
          </w:p>
        </w:tc>
        <w:tc>
          <w:tcPr>
            <w:tcW w:w="1440" w:type="dxa"/>
            <w:vMerge w:val="restar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学生与本学院授课教师之比</w:t>
            </w:r>
          </w:p>
        </w:tc>
        <w:tc>
          <w:tcPr>
            <w:tcW w:w="1080" w:type="dxa"/>
            <w:vMerge w:val="restar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应届毕业生数</w:t>
            </w:r>
          </w:p>
        </w:tc>
        <w:tc>
          <w:tcPr>
            <w:tcW w:w="2078" w:type="dxa"/>
            <w:vMerge w:val="restar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当年毕业生初次就业率（ %）</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CellMar>
            <w:top w:w="15" w:type="dxa"/>
            <w:left w:w="15" w:type="dxa"/>
            <w:bottom w:w="15" w:type="dxa"/>
            <w:right w:w="15" w:type="dxa"/>
          </w:tblCellMar>
        </w:tblPrEx>
        <w:trPr>
          <w:trHeight w:val="450" w:hRule="atLeast"/>
          <w:tblHeader/>
        </w:trPr>
        <w:tc>
          <w:tcPr>
            <w:tcW w:w="1212"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本学院授课教师数</w:t>
            </w:r>
          </w:p>
        </w:tc>
        <w:tc>
          <w:tcPr>
            <w:tcW w:w="1155"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外学院授课教师数</w:t>
            </w:r>
          </w:p>
        </w:tc>
        <w:tc>
          <w:tcPr>
            <w:tcW w:w="1485"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具有高级职称的授课教师数</w:t>
            </w:r>
          </w:p>
        </w:tc>
        <w:tc>
          <w:tcPr>
            <w:tcW w:w="765" w:type="dxa"/>
            <w:vMerge w:val="continue"/>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p>
        </w:tc>
        <w:tc>
          <w:tcPr>
            <w:tcW w:w="1440" w:type="dxa"/>
            <w:vMerge w:val="continue"/>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p>
        </w:tc>
        <w:tc>
          <w:tcPr>
            <w:tcW w:w="1080" w:type="dxa"/>
            <w:vMerge w:val="continue"/>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p>
        </w:tc>
        <w:tc>
          <w:tcPr>
            <w:tcW w:w="2078" w:type="dxa"/>
            <w:vMerge w:val="continue"/>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CellMar>
            <w:top w:w="15" w:type="dxa"/>
            <w:left w:w="15" w:type="dxa"/>
            <w:bottom w:w="15" w:type="dxa"/>
            <w:right w:w="15" w:type="dxa"/>
          </w:tblCellMar>
        </w:tblPrEx>
        <w:trPr>
          <w:trHeight w:val="450" w:hRule="atLeast"/>
        </w:trPr>
        <w:tc>
          <w:tcPr>
            <w:tcW w:w="1212"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10</w:t>
            </w:r>
          </w:p>
        </w:tc>
        <w:tc>
          <w:tcPr>
            <w:tcW w:w="1155"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1485"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w:t>
            </w:r>
          </w:p>
        </w:tc>
        <w:tc>
          <w:tcPr>
            <w:tcW w:w="765"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58</w:t>
            </w:r>
          </w:p>
        </w:tc>
        <w:tc>
          <w:tcPr>
            <w:tcW w:w="1440"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6：1</w:t>
            </w:r>
          </w:p>
        </w:tc>
        <w:tc>
          <w:tcPr>
            <w:tcW w:w="1080"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58</w:t>
            </w:r>
          </w:p>
        </w:tc>
        <w:tc>
          <w:tcPr>
            <w:tcW w:w="2078"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100%</w:t>
            </w:r>
          </w:p>
        </w:tc>
      </w:tr>
    </w:tbl>
    <w:p>
      <w:pPr>
        <w:shd w:val="clear" w:color="auto" w:fill="FFFFFF"/>
        <w:adjustRightInd w:val="0"/>
        <w:snapToGrid w:val="0"/>
        <w:spacing w:before="156" w:beforeLines="50" w:line="360" w:lineRule="auto"/>
        <w:contextualSpacing/>
        <w:jc w:val="center"/>
        <w:rPr>
          <w:rFonts w:ascii="Times New Roman Regular" w:hAnsi="Times New Roman Regular" w:cs="Times New Roman Regular"/>
          <w:color w:val="333333"/>
        </w:rPr>
      </w:pPr>
    </w:p>
    <w:p>
      <w:pPr>
        <w:shd w:val="clear" w:color="auto" w:fill="FFFFFF"/>
        <w:adjustRightInd w:val="0"/>
        <w:snapToGrid w:val="0"/>
        <w:spacing w:before="156" w:beforeLines="50" w:line="360" w:lineRule="auto"/>
        <w:contextualSpacing/>
        <w:jc w:val="center"/>
        <w:rPr>
          <w:rFonts w:ascii="Times New Roman Regular" w:hAnsi="Times New Roman Regular" w:cs="Times New Roman Regular"/>
          <w:color w:val="333333"/>
        </w:rPr>
      </w:pPr>
      <w:r>
        <w:rPr>
          <w:rFonts w:ascii="Times New Roman Regular" w:hAnsi="Times New Roman Regular" w:cs="Times New Roman Regular"/>
          <w:color w:val="333333"/>
        </w:rPr>
        <w:t>表3-3 专业生师情况（2023届）</w:t>
      </w:r>
    </w:p>
    <w:tbl>
      <w:tblPr>
        <w:tblStyle w:val="17"/>
        <w:tblW w:w="9215" w:type="dxa"/>
        <w:tblInd w:w="-411"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Layout w:type="fixed"/>
        <w:tblCellMar>
          <w:top w:w="15" w:type="dxa"/>
          <w:left w:w="15" w:type="dxa"/>
          <w:bottom w:w="15" w:type="dxa"/>
          <w:right w:w="15" w:type="dxa"/>
        </w:tblCellMar>
      </w:tblPr>
      <w:tblGrid>
        <w:gridCol w:w="1212"/>
        <w:gridCol w:w="1155"/>
        <w:gridCol w:w="1485"/>
        <w:gridCol w:w="765"/>
        <w:gridCol w:w="1440"/>
        <w:gridCol w:w="1080"/>
        <w:gridCol w:w="2078"/>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CellMar>
            <w:top w:w="15" w:type="dxa"/>
            <w:left w:w="15" w:type="dxa"/>
            <w:bottom w:w="15" w:type="dxa"/>
            <w:right w:w="15" w:type="dxa"/>
          </w:tblCellMar>
        </w:tblPrEx>
        <w:trPr>
          <w:trHeight w:val="505" w:hRule="atLeast"/>
          <w:tblHeader/>
        </w:trPr>
        <w:tc>
          <w:tcPr>
            <w:tcW w:w="3852" w:type="dxa"/>
            <w:gridSpan w:val="3"/>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授课教师</w:t>
            </w:r>
          </w:p>
        </w:tc>
        <w:tc>
          <w:tcPr>
            <w:tcW w:w="765" w:type="dxa"/>
            <w:vMerge w:val="restar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本科学生数</w:t>
            </w:r>
          </w:p>
        </w:tc>
        <w:tc>
          <w:tcPr>
            <w:tcW w:w="1440" w:type="dxa"/>
            <w:vMerge w:val="restar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学生与本学院授课教师之比</w:t>
            </w:r>
          </w:p>
        </w:tc>
        <w:tc>
          <w:tcPr>
            <w:tcW w:w="1080" w:type="dxa"/>
            <w:vMerge w:val="restar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应届毕业生数</w:t>
            </w:r>
          </w:p>
        </w:tc>
        <w:tc>
          <w:tcPr>
            <w:tcW w:w="2078" w:type="dxa"/>
            <w:vMerge w:val="restar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当年毕业生初次就业率（ %）</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CellMar>
            <w:top w:w="15" w:type="dxa"/>
            <w:left w:w="15" w:type="dxa"/>
            <w:bottom w:w="15" w:type="dxa"/>
            <w:right w:w="15" w:type="dxa"/>
          </w:tblCellMar>
        </w:tblPrEx>
        <w:trPr>
          <w:trHeight w:val="450" w:hRule="atLeast"/>
          <w:tblHeader/>
        </w:trPr>
        <w:tc>
          <w:tcPr>
            <w:tcW w:w="1212"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本学院授课教师数</w:t>
            </w:r>
          </w:p>
        </w:tc>
        <w:tc>
          <w:tcPr>
            <w:tcW w:w="1155"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外学院授课教师数</w:t>
            </w:r>
          </w:p>
        </w:tc>
        <w:tc>
          <w:tcPr>
            <w:tcW w:w="1485"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具有高级职称的授课教师数</w:t>
            </w:r>
          </w:p>
        </w:tc>
        <w:tc>
          <w:tcPr>
            <w:tcW w:w="765" w:type="dxa"/>
            <w:vMerge w:val="continue"/>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p>
        </w:tc>
        <w:tc>
          <w:tcPr>
            <w:tcW w:w="1440" w:type="dxa"/>
            <w:vMerge w:val="continue"/>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p>
        </w:tc>
        <w:tc>
          <w:tcPr>
            <w:tcW w:w="1080" w:type="dxa"/>
            <w:vMerge w:val="continue"/>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p>
        </w:tc>
        <w:tc>
          <w:tcPr>
            <w:tcW w:w="2078" w:type="dxa"/>
            <w:vMerge w:val="continue"/>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CellMar>
            <w:top w:w="15" w:type="dxa"/>
            <w:left w:w="15" w:type="dxa"/>
            <w:bottom w:w="15" w:type="dxa"/>
            <w:right w:w="15" w:type="dxa"/>
          </w:tblCellMar>
        </w:tblPrEx>
        <w:trPr>
          <w:trHeight w:val="450" w:hRule="atLeast"/>
        </w:trPr>
        <w:tc>
          <w:tcPr>
            <w:tcW w:w="1212"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10</w:t>
            </w:r>
          </w:p>
        </w:tc>
        <w:tc>
          <w:tcPr>
            <w:tcW w:w="1155"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1485"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w:t>
            </w:r>
          </w:p>
        </w:tc>
        <w:tc>
          <w:tcPr>
            <w:tcW w:w="765"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59</w:t>
            </w:r>
          </w:p>
        </w:tc>
        <w:tc>
          <w:tcPr>
            <w:tcW w:w="1440"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6：1</w:t>
            </w:r>
          </w:p>
        </w:tc>
        <w:tc>
          <w:tcPr>
            <w:tcW w:w="1080"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59</w:t>
            </w:r>
          </w:p>
        </w:tc>
        <w:tc>
          <w:tcPr>
            <w:tcW w:w="2078"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100%</w:t>
            </w:r>
          </w:p>
        </w:tc>
      </w:tr>
    </w:tbl>
    <w:p>
      <w:pPr>
        <w:shd w:val="clear" w:color="auto" w:fill="FFFFFF"/>
        <w:adjustRightInd w:val="0"/>
        <w:snapToGrid w:val="0"/>
        <w:spacing w:line="360" w:lineRule="auto"/>
        <w:ind w:firstLine="360"/>
        <w:contextualSpacing/>
        <w:rPr>
          <w:rFonts w:ascii="Times New Roman Regular" w:hAnsi="Times New Roman Regular" w:cs="Times New Roman Regular"/>
          <w:color w:val="333333"/>
        </w:rPr>
      </w:pPr>
    </w:p>
    <w:p>
      <w:pPr>
        <w:pStyle w:val="5"/>
        <w:spacing w:before="0" w:after="0" w:line="360" w:lineRule="auto"/>
        <w:rPr>
          <w:rFonts w:ascii="Times New Roman Regular" w:hAnsi="Times New Roman Regular" w:eastAsia="宋体" w:cs="Times New Roman Regular"/>
          <w:b w:val="0"/>
          <w:bCs w:val="0"/>
          <w:sz w:val="24"/>
          <w:szCs w:val="24"/>
        </w:rPr>
      </w:pPr>
      <w:r>
        <w:rPr>
          <w:rFonts w:ascii="Times New Roman Regular" w:hAnsi="Times New Roman Regular" w:eastAsia="宋体" w:cs="Times New Roman Regular"/>
          <w:b w:val="0"/>
          <w:bCs w:val="0"/>
          <w:sz w:val="24"/>
          <w:szCs w:val="24"/>
        </w:rPr>
        <w:t>3.1.1 课程教学大纲制定情况</w:t>
      </w:r>
    </w:p>
    <w:p>
      <w:pPr>
        <w:pStyle w:val="16"/>
        <w:tabs>
          <w:tab w:val="left" w:pos="8280"/>
        </w:tabs>
        <w:adjustRightInd w:val="0"/>
        <w:snapToGrid w:val="0"/>
        <w:spacing w:before="0" w:beforeAutospacing="0" w:after="0" w:afterAutospacing="0"/>
        <w:ind w:firstLine="480" w:firstLineChars="200"/>
        <w:contextualSpacing/>
        <w:jc w:val="both"/>
        <w:rPr>
          <w:rFonts w:ascii="Times New Roman Regular" w:hAnsi="Times New Roman Regular" w:cs="Times New Roman Regular"/>
          <w:szCs w:val="24"/>
        </w:rPr>
      </w:pPr>
      <w:r>
        <w:rPr>
          <w:rFonts w:ascii="Times New Roman Regular" w:hAnsi="Times New Roman Regular" w:cs="Times New Roman Regular"/>
          <w:szCs w:val="24"/>
        </w:rPr>
        <w:t>本专业历来重视课程教学环节，对培养计划中的每门课程均制定有完备的教学文件，包括：课程简介、教学大纲、教学方案、课程教案、PPT课件等。对于考卷，系主任和教学副院长两级审核后方可印刷使用，归档率达到100%。特别是新引进V-WM物流仿真软件的《仓储配送模式实习》，因材施教，重新规划教学大纲，拟定教学方案，设计教学课件。让学生通过仿真软件的学习和应用，身临其境地感知仓储配送管理的业务流程和操作要点。</w:t>
      </w:r>
    </w:p>
    <w:p>
      <w:pPr>
        <w:pStyle w:val="5"/>
        <w:spacing w:before="0" w:after="0" w:line="360" w:lineRule="auto"/>
        <w:rPr>
          <w:rFonts w:ascii="Times New Roman Regular" w:hAnsi="Times New Roman Regular" w:eastAsia="宋体" w:cs="Times New Roman Regular"/>
          <w:b w:val="0"/>
          <w:bCs w:val="0"/>
          <w:sz w:val="24"/>
          <w:szCs w:val="24"/>
        </w:rPr>
      </w:pPr>
      <w:r>
        <w:rPr>
          <w:rFonts w:ascii="Times New Roman Regular" w:hAnsi="Times New Roman Regular" w:eastAsia="宋体" w:cs="Times New Roman Regular"/>
          <w:b w:val="0"/>
          <w:bCs w:val="0"/>
          <w:sz w:val="24"/>
          <w:szCs w:val="24"/>
        </w:rPr>
        <w:t>3.1.2 教材建设情况</w:t>
      </w:r>
    </w:p>
    <w:p>
      <w:pPr>
        <w:pStyle w:val="16"/>
        <w:tabs>
          <w:tab w:val="left" w:pos="8280"/>
        </w:tabs>
        <w:adjustRightInd w:val="0"/>
        <w:snapToGrid w:val="0"/>
        <w:spacing w:before="0" w:beforeAutospacing="0" w:after="0" w:afterAutospacing="0"/>
        <w:ind w:firstLine="480" w:firstLineChars="200"/>
        <w:contextualSpacing/>
        <w:jc w:val="both"/>
        <w:rPr>
          <w:rFonts w:ascii="Times New Roman Regular" w:hAnsi="Times New Roman Regular" w:cs="Times New Roman Regular"/>
          <w:szCs w:val="24"/>
        </w:rPr>
      </w:pPr>
      <w:r>
        <w:rPr>
          <w:rFonts w:ascii="Times New Roman Regular" w:hAnsi="Times New Roman Regular" w:cs="Times New Roman Regular"/>
          <w:szCs w:val="24"/>
        </w:rPr>
        <w:t>本专业按照学校的要求，选用符合教学大纲要求的普通高等教育“十二五”规划教材、21世纪高等院校“十三五”规划教材等。教师选用教材，必须填写“教材选用计划表”，经审核通过后确定教材的选用。此外，本专业选用前五年编著的物流专业特色教材，并将其应用在教学过程中，一定程度上提高了教学效果。</w:t>
      </w:r>
    </w:p>
    <w:p>
      <w:pPr>
        <w:pStyle w:val="4"/>
        <w:spacing w:line="360" w:lineRule="auto"/>
        <w:rPr>
          <w:rFonts w:ascii="Times New Roman Regular" w:hAnsi="Times New Roman Regular" w:eastAsia="宋体" w:cs="Times New Roman Regular"/>
          <w:sz w:val="24"/>
          <w:szCs w:val="24"/>
        </w:rPr>
      </w:pPr>
      <w:bookmarkStart w:id="17" w:name="_Toc151660007"/>
      <w:r>
        <w:rPr>
          <w:rFonts w:ascii="Times New Roman Regular" w:hAnsi="Times New Roman Regular" w:eastAsia="宋体" w:cs="Times New Roman Regular"/>
          <w:sz w:val="24"/>
          <w:szCs w:val="24"/>
        </w:rPr>
        <w:t>3.2专业教学计划</w:t>
      </w:r>
      <w:bookmarkEnd w:id="17"/>
    </w:p>
    <w:p>
      <w:pPr>
        <w:pStyle w:val="5"/>
        <w:spacing w:line="360" w:lineRule="auto"/>
        <w:rPr>
          <w:rFonts w:ascii="Times New Roman Regular" w:hAnsi="Times New Roman Regular" w:eastAsia="宋体" w:cs="Times New Roman Regular"/>
          <w:b w:val="0"/>
          <w:bCs w:val="0"/>
          <w:kern w:val="2"/>
          <w:sz w:val="24"/>
          <w:szCs w:val="24"/>
        </w:rPr>
      </w:pPr>
      <w:r>
        <w:rPr>
          <w:rFonts w:ascii="Times New Roman Regular" w:hAnsi="Times New Roman Regular" w:eastAsia="宋体" w:cs="Times New Roman Regular"/>
          <w:b w:val="0"/>
          <w:bCs w:val="0"/>
          <w:kern w:val="2"/>
          <w:sz w:val="24"/>
          <w:szCs w:val="24"/>
        </w:rPr>
        <w:t>3.2.1专业教学计划情况</w:t>
      </w:r>
    </w:p>
    <w:p>
      <w:pPr>
        <w:shd w:val="clear" w:color="auto" w:fill="FFFFFF"/>
        <w:spacing w:line="360" w:lineRule="auto"/>
        <w:ind w:firstLine="480" w:firstLineChars="200"/>
        <w:jc w:val="both"/>
        <w:rPr>
          <w:rFonts w:ascii="Times New Roman Regular" w:hAnsi="Times New Roman Regular" w:cs="Times New Roman Regular"/>
          <w:color w:val="333333"/>
        </w:rPr>
      </w:pPr>
      <w:r>
        <w:rPr>
          <w:rFonts w:ascii="Times New Roman Regular" w:hAnsi="Times New Roman Regular" w:cs="Times New Roman Regular"/>
          <w:color w:val="333333"/>
        </w:rPr>
        <w:t>本专业基本学制4年，学生可在3至6年内完成学业。学生在规定的学习年限内修满培养计划规定的各教学模块的学分，总学分达到153学分,方能毕业。其中各类必修学分达到106学分，选修学分达到47学分（含第二课堂4学分），方能毕业。</w:t>
      </w:r>
    </w:p>
    <w:p>
      <w:pPr>
        <w:shd w:val="clear" w:color="auto" w:fill="FFFFFF"/>
        <w:spacing w:before="156" w:beforeLines="50" w:line="360" w:lineRule="auto"/>
        <w:jc w:val="center"/>
        <w:rPr>
          <w:rFonts w:ascii="Times New Roman Regular" w:hAnsi="Times New Roman Regular" w:cs="Times New Roman Regular"/>
          <w:color w:val="333333"/>
        </w:rPr>
      </w:pPr>
      <w:bookmarkStart w:id="18" w:name="_Hlk157077751"/>
      <w:r>
        <w:rPr>
          <w:rFonts w:ascii="Times New Roman Regular" w:hAnsi="Times New Roman Regular" w:cs="Times New Roman Regular"/>
          <w:color w:val="333333"/>
        </w:rPr>
        <w:t>表3-4 专业培养计划概况</w:t>
      </w:r>
    </w:p>
    <w:bookmarkEnd w:id="18"/>
    <w:tbl>
      <w:tblPr>
        <w:tblStyle w:val="17"/>
        <w:tblW w:w="5059"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5" w:type="dxa"/>
          <w:left w:w="15" w:type="dxa"/>
          <w:bottom w:w="15" w:type="dxa"/>
          <w:right w:w="15" w:type="dxa"/>
        </w:tblCellMar>
      </w:tblPr>
      <w:tblGrid>
        <w:gridCol w:w="607"/>
        <w:gridCol w:w="484"/>
        <w:gridCol w:w="724"/>
        <w:gridCol w:w="967"/>
        <w:gridCol w:w="1088"/>
        <w:gridCol w:w="843"/>
        <w:gridCol w:w="933"/>
        <w:gridCol w:w="1282"/>
        <w:gridCol w:w="15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40" w:hRule="atLeast"/>
          <w:tblHeader/>
        </w:trPr>
        <w:tc>
          <w:tcPr>
            <w:tcW w:w="360" w:type="pc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rPr>
            </w:pPr>
            <w:bookmarkStart w:id="19" w:name="_Hlk157077745"/>
            <w:r>
              <w:rPr>
                <w:rFonts w:ascii="Times New Roman Regular" w:hAnsi="Times New Roman Regular" w:cs="Times New Roman Regular"/>
              </w:rPr>
              <w:t>总学 时</w:t>
            </w:r>
          </w:p>
        </w:tc>
        <w:tc>
          <w:tcPr>
            <w:tcW w:w="287" w:type="pc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rPr>
            </w:pPr>
            <w:r>
              <w:rPr>
                <w:rFonts w:ascii="Times New Roman Regular" w:hAnsi="Times New Roman Regular" w:cs="Times New Roman Regular"/>
              </w:rPr>
              <w:t>总学分</w:t>
            </w:r>
          </w:p>
        </w:tc>
        <w:tc>
          <w:tcPr>
            <w:tcW w:w="429" w:type="pc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rPr>
            </w:pPr>
            <w:r>
              <w:rPr>
                <w:rFonts w:ascii="Times New Roman Regular" w:hAnsi="Times New Roman Regular" w:cs="Times New Roman Regular"/>
              </w:rPr>
              <w:t>必修课学分</w:t>
            </w:r>
          </w:p>
        </w:tc>
        <w:tc>
          <w:tcPr>
            <w:tcW w:w="573" w:type="pc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rPr>
            </w:pPr>
            <w:r>
              <w:rPr>
                <w:rFonts w:ascii="Times New Roman Regular" w:hAnsi="Times New Roman Regular" w:cs="Times New Roman Regular"/>
              </w:rPr>
              <w:t>选修课 学分</w:t>
            </w:r>
          </w:p>
        </w:tc>
        <w:tc>
          <w:tcPr>
            <w:tcW w:w="645" w:type="pc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rPr>
            </w:pPr>
            <w:r>
              <w:rPr>
                <w:rFonts w:ascii="Times New Roman Regular" w:hAnsi="Times New Roman Regular" w:cs="Times New Roman Regular"/>
              </w:rPr>
              <w:t>集中实践环节学分</w:t>
            </w:r>
          </w:p>
        </w:tc>
        <w:tc>
          <w:tcPr>
            <w:tcW w:w="500" w:type="pc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rPr>
            </w:pPr>
            <w:r>
              <w:rPr>
                <w:rFonts w:ascii="Times New Roman Regular" w:hAnsi="Times New Roman Regular" w:cs="Times New Roman Regular"/>
              </w:rPr>
              <w:t>课内教学学分</w:t>
            </w:r>
          </w:p>
        </w:tc>
        <w:tc>
          <w:tcPr>
            <w:tcW w:w="553" w:type="pc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rPr>
            </w:pPr>
            <w:r>
              <w:rPr>
                <w:rFonts w:ascii="Times New Roman Regular" w:hAnsi="Times New Roman Regular" w:cs="Times New Roman Regular"/>
              </w:rPr>
              <w:t>实验教学学分</w:t>
            </w:r>
          </w:p>
        </w:tc>
        <w:tc>
          <w:tcPr>
            <w:tcW w:w="760" w:type="pc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rPr>
            </w:pPr>
            <w:r>
              <w:rPr>
                <w:rFonts w:ascii="Times New Roman Regular" w:hAnsi="Times New Roman Regular" w:cs="Times New Roman Regular"/>
              </w:rPr>
              <w:t>课外科技活动学分</w:t>
            </w:r>
          </w:p>
        </w:tc>
        <w:tc>
          <w:tcPr>
            <w:tcW w:w="894" w:type="pct"/>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rPr>
            </w:pPr>
            <w:r>
              <w:rPr>
                <w:rFonts w:ascii="Times New Roman Regular" w:hAnsi="Times New Roman Regular" w:cs="Times New Roman Regular"/>
              </w:rPr>
              <w:t>实践教学学分比例（%）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65" w:hRule="atLeast"/>
        </w:trPr>
        <w:tc>
          <w:tcPr>
            <w:tcW w:w="360" w:type="pct"/>
            <w:shd w:val="clear" w:color="auto" w:fill="FFFFFF"/>
            <w:vAlign w:val="center"/>
          </w:tcPr>
          <w:p>
            <w:pPr>
              <w:adjustRightInd w:val="0"/>
              <w:snapToGrid w:val="0"/>
              <w:spacing w:line="360" w:lineRule="auto"/>
              <w:contextualSpacing/>
              <w:jc w:val="center"/>
              <w:rPr>
                <w:rFonts w:ascii="Times New Roman Regular" w:hAnsi="Times New Roman Regular" w:cs="Times New Roman Regular"/>
              </w:rPr>
            </w:pPr>
            <w:r>
              <w:rPr>
                <w:rFonts w:ascii="Times New Roman Regular" w:hAnsi="Times New Roman Regular" w:cs="Times New Roman Regular"/>
                <w:szCs w:val="21"/>
              </w:rPr>
              <w:t>2832</w:t>
            </w:r>
          </w:p>
        </w:tc>
        <w:tc>
          <w:tcPr>
            <w:tcW w:w="287" w:type="pct"/>
            <w:shd w:val="clear" w:color="auto" w:fill="FFFFFF"/>
            <w:vAlign w:val="center"/>
          </w:tcPr>
          <w:p>
            <w:pPr>
              <w:adjustRightInd w:val="0"/>
              <w:snapToGrid w:val="0"/>
              <w:spacing w:line="360" w:lineRule="auto"/>
              <w:contextualSpacing/>
              <w:jc w:val="center"/>
              <w:rPr>
                <w:rFonts w:ascii="Times New Roman Regular" w:hAnsi="Times New Roman Regular" w:cs="Times New Roman Regular"/>
              </w:rPr>
            </w:pPr>
            <w:r>
              <w:rPr>
                <w:rFonts w:ascii="Times New Roman Regular" w:hAnsi="Times New Roman Regular" w:cs="Times New Roman Regular"/>
                <w:szCs w:val="21"/>
              </w:rPr>
              <w:t>160</w:t>
            </w:r>
          </w:p>
        </w:tc>
        <w:tc>
          <w:tcPr>
            <w:tcW w:w="429" w:type="pct"/>
            <w:shd w:val="clear" w:color="auto" w:fill="FFFFFF"/>
            <w:vAlign w:val="center"/>
          </w:tcPr>
          <w:p>
            <w:pPr>
              <w:adjustRightInd w:val="0"/>
              <w:snapToGrid w:val="0"/>
              <w:spacing w:line="360" w:lineRule="auto"/>
              <w:contextualSpacing/>
              <w:jc w:val="center"/>
              <w:rPr>
                <w:rFonts w:ascii="Times New Roman Regular" w:hAnsi="Times New Roman Regular" w:cs="Times New Roman Regular"/>
              </w:rPr>
            </w:pPr>
            <w:r>
              <w:rPr>
                <w:rFonts w:ascii="Times New Roman Regular" w:hAnsi="Times New Roman Regular" w:cs="Times New Roman Regular"/>
                <w:szCs w:val="21"/>
              </w:rPr>
              <w:t>113</w:t>
            </w:r>
          </w:p>
        </w:tc>
        <w:tc>
          <w:tcPr>
            <w:tcW w:w="573" w:type="pct"/>
            <w:shd w:val="clear" w:color="auto" w:fill="FFFFFF"/>
            <w:vAlign w:val="center"/>
          </w:tcPr>
          <w:p>
            <w:pPr>
              <w:adjustRightInd w:val="0"/>
              <w:snapToGrid w:val="0"/>
              <w:spacing w:line="360" w:lineRule="auto"/>
              <w:contextualSpacing/>
              <w:jc w:val="center"/>
              <w:rPr>
                <w:rFonts w:ascii="Times New Roman Regular" w:hAnsi="Times New Roman Regular" w:cs="Times New Roman Regular"/>
              </w:rPr>
            </w:pPr>
            <w:r>
              <w:rPr>
                <w:rFonts w:ascii="Times New Roman Regular" w:hAnsi="Times New Roman Regular" w:cs="Times New Roman Regular"/>
                <w:szCs w:val="21"/>
              </w:rPr>
              <w:t>47</w:t>
            </w:r>
          </w:p>
        </w:tc>
        <w:tc>
          <w:tcPr>
            <w:tcW w:w="645" w:type="pct"/>
            <w:shd w:val="clear" w:color="auto" w:fill="FFFFFF"/>
            <w:vAlign w:val="center"/>
          </w:tcPr>
          <w:p>
            <w:pPr>
              <w:adjustRightInd w:val="0"/>
              <w:snapToGrid w:val="0"/>
              <w:spacing w:line="360" w:lineRule="auto"/>
              <w:contextualSpacing/>
              <w:jc w:val="center"/>
              <w:rPr>
                <w:rFonts w:ascii="Times New Roman Regular" w:hAnsi="Times New Roman Regular" w:cs="Times New Roman Regular"/>
              </w:rPr>
            </w:pPr>
            <w:r>
              <w:rPr>
                <w:rFonts w:ascii="Times New Roman Regular" w:hAnsi="Times New Roman Regular" w:cs="Times New Roman Regular"/>
                <w:szCs w:val="21"/>
              </w:rPr>
              <w:t>28</w:t>
            </w:r>
          </w:p>
        </w:tc>
        <w:tc>
          <w:tcPr>
            <w:tcW w:w="500" w:type="pct"/>
            <w:shd w:val="clear" w:color="auto" w:fill="FFFFFF"/>
            <w:vAlign w:val="center"/>
          </w:tcPr>
          <w:p>
            <w:pPr>
              <w:adjustRightInd w:val="0"/>
              <w:snapToGrid w:val="0"/>
              <w:spacing w:line="360" w:lineRule="auto"/>
              <w:contextualSpacing/>
              <w:jc w:val="center"/>
              <w:rPr>
                <w:rFonts w:ascii="Times New Roman Regular" w:hAnsi="Times New Roman Regular" w:cs="Times New Roman Regular"/>
              </w:rPr>
            </w:pPr>
            <w:r>
              <w:rPr>
                <w:rFonts w:ascii="Times New Roman Regular" w:hAnsi="Times New Roman Regular" w:cs="Times New Roman Regular"/>
                <w:szCs w:val="21"/>
              </w:rPr>
              <w:t>122</w:t>
            </w:r>
          </w:p>
        </w:tc>
        <w:tc>
          <w:tcPr>
            <w:tcW w:w="553" w:type="pct"/>
            <w:shd w:val="clear" w:color="auto" w:fill="FFFFFF"/>
            <w:vAlign w:val="center"/>
          </w:tcPr>
          <w:p>
            <w:pPr>
              <w:adjustRightInd w:val="0"/>
              <w:snapToGrid w:val="0"/>
              <w:spacing w:line="360" w:lineRule="auto"/>
              <w:contextualSpacing/>
              <w:jc w:val="center"/>
              <w:rPr>
                <w:rFonts w:ascii="Times New Roman Regular" w:hAnsi="Times New Roman Regular" w:cs="Times New Roman Regular"/>
              </w:rPr>
            </w:pPr>
            <w:r>
              <w:rPr>
                <w:rFonts w:ascii="Times New Roman Regular" w:hAnsi="Times New Roman Regular" w:cs="Times New Roman Regular"/>
                <w:szCs w:val="21"/>
              </w:rPr>
              <w:t>6</w:t>
            </w:r>
          </w:p>
        </w:tc>
        <w:tc>
          <w:tcPr>
            <w:tcW w:w="760" w:type="pct"/>
            <w:shd w:val="clear" w:color="auto" w:fill="FFFFFF"/>
            <w:vAlign w:val="center"/>
          </w:tcPr>
          <w:p>
            <w:pPr>
              <w:adjustRightInd w:val="0"/>
              <w:snapToGrid w:val="0"/>
              <w:spacing w:line="360" w:lineRule="auto"/>
              <w:contextualSpacing/>
              <w:jc w:val="center"/>
              <w:rPr>
                <w:rFonts w:ascii="Times New Roman Regular" w:hAnsi="Times New Roman Regular" w:cs="Times New Roman Regular"/>
              </w:rPr>
            </w:pPr>
            <w:r>
              <w:rPr>
                <w:rFonts w:ascii="Times New Roman Regular" w:hAnsi="Times New Roman Regular" w:cs="Times New Roman Regular"/>
                <w:szCs w:val="21"/>
              </w:rPr>
              <w:t>4</w:t>
            </w:r>
          </w:p>
        </w:tc>
        <w:tc>
          <w:tcPr>
            <w:tcW w:w="894" w:type="pct"/>
            <w:shd w:val="clear" w:color="auto" w:fill="FFFFFF"/>
            <w:vAlign w:val="center"/>
          </w:tcPr>
          <w:p>
            <w:pPr>
              <w:adjustRightInd w:val="0"/>
              <w:snapToGrid w:val="0"/>
              <w:spacing w:line="360" w:lineRule="auto"/>
              <w:contextualSpacing/>
              <w:jc w:val="center"/>
              <w:rPr>
                <w:rFonts w:ascii="Times New Roman Regular" w:hAnsi="Times New Roman Regular" w:cs="Times New Roman Regular"/>
              </w:rPr>
            </w:pPr>
            <w:r>
              <w:rPr>
                <w:rFonts w:ascii="Times New Roman Regular" w:hAnsi="Times New Roman Regular" w:cs="Times New Roman Regular"/>
                <w:szCs w:val="21"/>
              </w:rPr>
              <w:t>21.25</w:t>
            </w:r>
          </w:p>
        </w:tc>
      </w:tr>
      <w:bookmarkEnd w:id="19"/>
    </w:tbl>
    <w:p>
      <w:pPr>
        <w:spacing w:line="360" w:lineRule="auto"/>
        <w:jc w:val="both"/>
        <w:rPr>
          <w:rFonts w:ascii="Times New Roman Regular" w:hAnsi="Times New Roman Regular" w:cs="Times New Roman Regular"/>
        </w:rPr>
      </w:pPr>
    </w:p>
    <w:p>
      <w:pPr>
        <w:pStyle w:val="5"/>
        <w:spacing w:line="360" w:lineRule="auto"/>
        <w:rPr>
          <w:rFonts w:ascii="Times New Roman Regular" w:hAnsi="Times New Roman Regular" w:eastAsia="宋体" w:cs="Times New Roman Regular"/>
          <w:b w:val="0"/>
          <w:bCs w:val="0"/>
          <w:kern w:val="2"/>
          <w:sz w:val="24"/>
          <w:szCs w:val="24"/>
        </w:rPr>
      </w:pPr>
      <w:r>
        <w:rPr>
          <w:rFonts w:ascii="Times New Roman Regular" w:hAnsi="Times New Roman Regular" w:eastAsia="宋体" w:cs="Times New Roman Regular"/>
          <w:b w:val="0"/>
          <w:bCs w:val="0"/>
          <w:kern w:val="2"/>
          <w:sz w:val="24"/>
          <w:szCs w:val="24"/>
        </w:rPr>
        <w:t>3.2.2</w:t>
      </w:r>
      <w:bookmarkStart w:id="20" w:name="OLE_LINK12"/>
      <w:r>
        <w:rPr>
          <w:rFonts w:ascii="Times New Roman Regular" w:hAnsi="Times New Roman Regular" w:eastAsia="宋体" w:cs="Times New Roman Regular"/>
          <w:b w:val="0"/>
          <w:bCs w:val="0"/>
          <w:kern w:val="2"/>
          <w:sz w:val="24"/>
          <w:szCs w:val="24"/>
        </w:rPr>
        <w:t>课程实施情况表</w:t>
      </w:r>
      <w:bookmarkEnd w:id="20"/>
    </w:p>
    <w:p>
      <w:pPr>
        <w:shd w:val="clear" w:color="auto" w:fill="FFFFFF"/>
        <w:spacing w:before="156" w:beforeLines="50" w:line="360" w:lineRule="auto"/>
        <w:jc w:val="center"/>
        <w:rPr>
          <w:rFonts w:ascii="Times New Roman Regular" w:hAnsi="Times New Roman Regular" w:cs="Times New Roman Regular"/>
          <w:color w:val="333333"/>
        </w:rPr>
      </w:pPr>
      <w:r>
        <w:rPr>
          <w:rFonts w:ascii="Times New Roman Regular" w:hAnsi="Times New Roman Regular" w:cs="Times New Roman Regular"/>
          <w:color w:val="333333"/>
        </w:rPr>
        <w:t xml:space="preserve">表3-5 </w:t>
      </w:r>
      <w:r>
        <w:rPr>
          <w:rFonts w:ascii="Times New Roman Regular" w:hAnsi="Times New Roman Regular" w:cs="Times New Roman Regular"/>
          <w:kern w:val="2"/>
        </w:rPr>
        <w:t>课程实施情况表</w:t>
      </w:r>
    </w:p>
    <w:p>
      <w:pPr>
        <w:spacing w:line="360" w:lineRule="auto"/>
        <w:rPr>
          <w:rFonts w:ascii="Times New Roman Regular" w:hAnsi="Times New Roman Regular" w:cs="Times New Roman Regular"/>
        </w:rPr>
      </w:pP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8"/>
        <w:gridCol w:w="1029"/>
        <w:gridCol w:w="1789"/>
        <w:gridCol w:w="1195"/>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vMerge w:val="restart"/>
            <w:tcBorders>
              <w:top w:val="single" w:color="000000" w:sz="4" w:space="0"/>
              <w:left w:val="single" w:color="000000" w:sz="4" w:space="0"/>
              <w:bottom w:val="single" w:color="000000" w:sz="4" w:space="0"/>
              <w:right w:val="single" w:color="000000" w:sz="4" w:space="0"/>
            </w:tcBorders>
            <w:vAlign w:val="center"/>
          </w:tcPr>
          <w:p>
            <w:pPr>
              <w:pStyle w:val="28"/>
              <w:spacing w:before="111" w:beforeAutospacing="0" w:after="0" w:afterAutospacing="0" w:line="360" w:lineRule="auto"/>
              <w:jc w:val="center"/>
              <w:rPr>
                <w:rFonts w:ascii="Times New Roman Regular" w:hAnsi="Times New Roman Regular" w:cs="Times New Roman Regular"/>
              </w:rPr>
            </w:pPr>
            <w:r>
              <w:rPr>
                <w:rFonts w:ascii="Times New Roman Regular" w:hAnsi="Times New Roman Regular" w:cs="Times New Roman Regular"/>
                <w:sz w:val="21"/>
                <w:szCs w:val="22"/>
              </w:rPr>
              <w:t>项目</w:t>
            </w:r>
          </w:p>
        </w:tc>
        <w:tc>
          <w:tcPr>
            <w:tcW w:w="2812" w:type="dxa"/>
            <w:gridSpan w:val="2"/>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line="360" w:lineRule="auto"/>
              <w:jc w:val="center"/>
              <w:rPr>
                <w:rFonts w:ascii="Times New Roman Regular" w:hAnsi="Times New Roman Regular" w:cs="Times New Roman Regular"/>
              </w:rPr>
            </w:pPr>
            <w:r>
              <w:rPr>
                <w:rFonts w:ascii="Times New Roman Regular" w:hAnsi="Times New Roman Regular" w:cs="Times New Roman Regular"/>
                <w:sz w:val="21"/>
                <w:szCs w:val="22"/>
              </w:rPr>
              <w:t>学时</w:t>
            </w:r>
          </w:p>
        </w:tc>
        <w:tc>
          <w:tcPr>
            <w:tcW w:w="2972" w:type="dxa"/>
            <w:gridSpan w:val="2"/>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line="360" w:lineRule="auto"/>
              <w:jc w:val="center"/>
              <w:rPr>
                <w:rFonts w:ascii="Times New Roman Regular" w:hAnsi="Times New Roman Regular" w:cs="Times New Roman Regular"/>
              </w:rPr>
            </w:pPr>
            <w:r>
              <w:rPr>
                <w:rFonts w:ascii="Times New Roman Regular" w:hAnsi="Times New Roman Regular" w:cs="Times New Roman Regular"/>
                <w:sz w:val="21"/>
                <w:szCs w:val="22"/>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Regular" w:hAnsi="Times New Roman Regular" w:cs="Times New Roman Regular"/>
              </w:rPr>
            </w:pP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8"/>
              <w:spacing w:line="360" w:lineRule="auto"/>
              <w:jc w:val="center"/>
              <w:rPr>
                <w:rFonts w:ascii="Times New Roman Regular" w:hAnsi="Times New Roman Regular" w:cs="Times New Roman Regular"/>
              </w:rPr>
            </w:pPr>
            <w:r>
              <w:rPr>
                <w:rFonts w:ascii="Times New Roman Regular" w:hAnsi="Times New Roman Regular" w:cs="Times New Roman Regular"/>
                <w:sz w:val="21"/>
                <w:szCs w:val="22"/>
              </w:rPr>
              <w:t>数量</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8"/>
              <w:spacing w:line="360" w:lineRule="auto"/>
              <w:jc w:val="center"/>
              <w:rPr>
                <w:rFonts w:ascii="Times New Roman Regular" w:hAnsi="Times New Roman Regular" w:cs="Times New Roman Regular"/>
              </w:rPr>
            </w:pPr>
            <w:r>
              <w:rPr>
                <w:rFonts w:ascii="Times New Roman Regular" w:hAnsi="Times New Roman Regular" w:cs="Times New Roman Regular"/>
                <w:sz w:val="21"/>
                <w:szCs w:val="22"/>
              </w:rPr>
              <w:t>占总开课学时比例（</w:t>
            </w:r>
            <w:r>
              <w:rPr>
                <w:rFonts w:ascii="Times New Roman Regular" w:hAnsi="Times New Roman Regular" w:eastAsia="Times New Roman" w:cs="Times New Roman Regular"/>
                <w:b/>
                <w:sz w:val="21"/>
                <w:szCs w:val="22"/>
              </w:rPr>
              <w:t>%</w:t>
            </w:r>
            <w:r>
              <w:rPr>
                <w:rFonts w:ascii="Times New Roman Regular" w:hAnsi="Times New Roman Regular" w:cs="Times New Roman Regular"/>
                <w:sz w:val="21"/>
                <w:szCs w:val="22"/>
              </w:rPr>
              <w:t>）</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8"/>
              <w:spacing w:line="360" w:lineRule="auto"/>
              <w:jc w:val="center"/>
              <w:rPr>
                <w:rFonts w:ascii="Times New Roman Regular" w:hAnsi="Times New Roman Regular" w:cs="Times New Roman Regular"/>
              </w:rPr>
            </w:pPr>
            <w:r>
              <w:rPr>
                <w:rFonts w:ascii="Times New Roman Regular" w:hAnsi="Times New Roman Regular" w:cs="Times New Roman Regular"/>
                <w:sz w:val="21"/>
                <w:szCs w:val="22"/>
              </w:rPr>
              <w:t>数量</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8"/>
              <w:spacing w:line="360" w:lineRule="auto"/>
              <w:jc w:val="center"/>
              <w:rPr>
                <w:rFonts w:ascii="Times New Roman Regular" w:hAnsi="Times New Roman Regular" w:cs="Times New Roman Regular"/>
              </w:rPr>
            </w:pPr>
            <w:r>
              <w:rPr>
                <w:rFonts w:ascii="Times New Roman Regular" w:hAnsi="Times New Roman Regular" w:cs="Times New Roman Regular"/>
                <w:sz w:val="21"/>
                <w:szCs w:val="22"/>
              </w:rPr>
              <w:t>占总开课学分比例（</w:t>
            </w:r>
            <w:r>
              <w:rPr>
                <w:rFonts w:ascii="Times New Roman Regular" w:hAnsi="Times New Roman Regular" w:eastAsia="Times New Roman" w:cs="Times New Roman Regular"/>
                <w:b/>
                <w:sz w:val="21"/>
                <w:szCs w:val="22"/>
              </w:rPr>
              <w:t>%</w:t>
            </w:r>
            <w:r>
              <w:rPr>
                <w:rFonts w:ascii="Times New Roman Regular" w:hAnsi="Times New Roman Regular" w:cs="Times New Roman Regular"/>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line="360" w:lineRule="auto"/>
              <w:jc w:val="center"/>
              <w:rPr>
                <w:rFonts w:ascii="Times New Roman Regular" w:hAnsi="Times New Roman Regular" w:cs="Times New Roman Regular"/>
                <w:sz w:val="21"/>
                <w:szCs w:val="21"/>
              </w:rPr>
            </w:pPr>
            <w:bookmarkStart w:id="21" w:name="OLE_LINK13"/>
            <w:r>
              <w:rPr>
                <w:rFonts w:ascii="Times New Roman Regular" w:hAnsi="Times New Roman Regular" w:cs="Times New Roman Regular"/>
                <w:sz w:val="21"/>
                <w:szCs w:val="21"/>
              </w:rPr>
              <w:t>专业必修课</w:t>
            </w:r>
            <w:bookmarkEnd w:id="21"/>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8"/>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2952</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8"/>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81.1%</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8"/>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106</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8"/>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69.28%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专业选修课</w:t>
            </w: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8"/>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688</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8"/>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18.90%</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8"/>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47</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8"/>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30.72%</w:t>
            </w:r>
          </w:p>
        </w:tc>
      </w:tr>
    </w:tbl>
    <w:p>
      <w:pPr>
        <w:pStyle w:val="4"/>
        <w:spacing w:line="360" w:lineRule="auto"/>
        <w:rPr>
          <w:rFonts w:ascii="Times New Roman Regular" w:hAnsi="Times New Roman Regular" w:eastAsia="宋体" w:cs="Times New Roman Regular"/>
          <w:sz w:val="24"/>
          <w:szCs w:val="24"/>
        </w:rPr>
      </w:pPr>
      <w:bookmarkStart w:id="22" w:name="_Toc2034132307"/>
      <w:r>
        <w:rPr>
          <w:rFonts w:ascii="Times New Roman Regular" w:hAnsi="Times New Roman Regular" w:eastAsia="宋体" w:cs="Times New Roman Regular"/>
          <w:sz w:val="24"/>
          <w:szCs w:val="24"/>
        </w:rPr>
        <w:t>3.3专业课开设情况</w:t>
      </w:r>
      <w:bookmarkEnd w:id="22"/>
    </w:p>
    <w:p>
      <w:pPr>
        <w:spacing w:line="360" w:lineRule="auto"/>
        <w:jc w:val="center"/>
        <w:rPr>
          <w:rFonts w:ascii="Times New Roman Regular" w:hAnsi="Times New Roman Regular" w:cs="Times New Roman Regular"/>
        </w:rPr>
      </w:pPr>
      <w:r>
        <w:rPr>
          <w:rFonts w:ascii="Times New Roman Regular" w:hAnsi="Times New Roman Regular" w:cs="Times New Roman Regular"/>
        </w:rPr>
        <w:t>表3-6 专业课开设情况</w:t>
      </w:r>
    </w:p>
    <w:tbl>
      <w:tblPr>
        <w:tblStyle w:val="1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7"/>
        <w:gridCol w:w="2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line="360" w:lineRule="auto"/>
              <w:jc w:val="center"/>
              <w:rPr>
                <w:rFonts w:ascii="Times New Roman Regular" w:hAnsi="Times New Roman Regular" w:cs="Times New Roman Regular"/>
              </w:rPr>
            </w:pPr>
            <w:r>
              <w:rPr>
                <w:rFonts w:ascii="Times New Roman Regular" w:hAnsi="Times New Roman Regular" w:cs="Times New Roman Regular"/>
                <w:sz w:val="21"/>
                <w:szCs w:val="22"/>
              </w:rPr>
              <w:t>项目</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line="360" w:lineRule="auto"/>
              <w:jc w:val="center"/>
              <w:rPr>
                <w:rFonts w:ascii="Times New Roman Regular" w:hAnsi="Times New Roman Regular" w:cs="Times New Roman Regular"/>
              </w:rPr>
            </w:pPr>
            <w:r>
              <w:rPr>
                <w:rFonts w:ascii="Times New Roman Regular" w:hAnsi="Times New Roman Regular" w:cs="Times New Roman Regular"/>
                <w:sz w:val="21"/>
                <w:szCs w:val="22"/>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line="360" w:lineRule="auto"/>
              <w:jc w:val="center"/>
              <w:rPr>
                <w:rFonts w:ascii="Times New Roman Regular" w:hAnsi="Times New Roman Regular" w:cs="Times New Roman Regular"/>
              </w:rPr>
            </w:pPr>
            <w:r>
              <w:rPr>
                <w:rFonts w:ascii="Times New Roman Regular" w:hAnsi="Times New Roman Regular" w:cs="Times New Roman Regular"/>
                <w:sz w:val="21"/>
                <w:szCs w:val="22"/>
              </w:rPr>
              <w:t>课程门数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8"/>
              <w:spacing w:line="360" w:lineRule="auto"/>
              <w:jc w:val="center"/>
              <w:rPr>
                <w:rFonts w:ascii="Times New Roman Regular" w:hAnsi="Times New Roman Regular" w:cs="Times New Roman Regular"/>
              </w:rPr>
            </w:pPr>
            <w:r>
              <w:rPr>
                <w:rFonts w:ascii="Times New Roman Regular" w:hAnsi="Times New Roman Regular" w:cs="Times New Roman Regular"/>
                <w:sz w:val="20"/>
                <w:szCs w:val="22"/>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line="360" w:lineRule="auto"/>
              <w:jc w:val="center"/>
              <w:rPr>
                <w:rFonts w:ascii="Times New Roman Regular" w:hAnsi="Times New Roman Regular" w:cs="Times New Roman Regular"/>
              </w:rPr>
            </w:pPr>
            <w:r>
              <w:rPr>
                <w:rFonts w:ascii="Times New Roman Regular" w:hAnsi="Times New Roman Regular" w:cs="Times New Roman Regular"/>
                <w:sz w:val="21"/>
                <w:szCs w:val="22"/>
              </w:rPr>
              <w:t>课程总门次数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8"/>
              <w:spacing w:line="360" w:lineRule="auto"/>
              <w:jc w:val="center"/>
              <w:rPr>
                <w:rFonts w:ascii="Times New Roman Regular" w:hAnsi="Times New Roman Regular" w:cs="Times New Roman Regular"/>
              </w:rPr>
            </w:pPr>
            <w:r>
              <w:rPr>
                <w:rFonts w:ascii="Times New Roman Regular" w:hAnsi="Times New Roman Regular" w:cs="Times New Roman Regular"/>
                <w:sz w:val="20"/>
                <w:szCs w:val="22"/>
              </w:rPr>
              <w:t>196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开设全外语课程门次数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8"/>
              <w:spacing w:line="360" w:lineRule="auto"/>
              <w:jc w:val="center"/>
              <w:rPr>
                <w:rFonts w:ascii="Times New Roman Regular" w:hAnsi="Times New Roman Regular" w:cs="Times New Roman Regular"/>
              </w:rPr>
            </w:pPr>
            <w:r>
              <w:rPr>
                <w:rFonts w:ascii="Times New Roman Regular" w:hAnsi="Times New Roman Regular" w:cs="Times New Roman Regular"/>
                <w:sz w:val="20"/>
                <w:szCs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line="360" w:lineRule="auto"/>
              <w:jc w:val="center"/>
              <w:rPr>
                <w:rFonts w:ascii="Times New Roman Regular" w:hAnsi="Times New Roman Regular" w:cs="Times New Roman Regular"/>
              </w:rPr>
            </w:pPr>
            <w:r>
              <w:rPr>
                <w:rFonts w:ascii="Times New Roman Regular" w:hAnsi="Times New Roman Regular" w:cs="Times New Roman Regular"/>
                <w:sz w:val="21"/>
                <w:szCs w:val="22"/>
              </w:rPr>
              <w:t>开设双语课程门次数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8"/>
              <w:spacing w:line="360" w:lineRule="auto"/>
              <w:jc w:val="center"/>
              <w:rPr>
                <w:rFonts w:ascii="Times New Roman Regular" w:hAnsi="Times New Roman Regular" w:cs="Times New Roman Regular"/>
              </w:rPr>
            </w:pPr>
            <w:r>
              <w:rPr>
                <w:rFonts w:ascii="Times New Roman Regular" w:hAnsi="Times New Roman Regular" w:cs="Times New Roman Regular"/>
                <w:sz w:val="20"/>
                <w:szCs w:val="22"/>
              </w:rPr>
              <w:t>0</w:t>
            </w:r>
          </w:p>
        </w:tc>
      </w:tr>
    </w:tbl>
    <w:p>
      <w:pPr>
        <w:spacing w:line="360" w:lineRule="auto"/>
        <w:rPr>
          <w:rFonts w:ascii="Times New Roman Regular" w:hAnsi="Times New Roman Regular" w:cs="Times New Roman Regular"/>
        </w:rPr>
      </w:pPr>
    </w:p>
    <w:p>
      <w:pPr>
        <w:pStyle w:val="4"/>
        <w:spacing w:line="360" w:lineRule="auto"/>
        <w:rPr>
          <w:rFonts w:ascii="Times New Roman Regular" w:hAnsi="Times New Roman Regular" w:eastAsia="宋体" w:cs="Times New Roman Regular"/>
          <w:sz w:val="24"/>
          <w:szCs w:val="24"/>
        </w:rPr>
      </w:pPr>
      <w:bookmarkStart w:id="23" w:name="_Toc1869507156"/>
      <w:r>
        <w:rPr>
          <w:rFonts w:ascii="Times New Roman Regular" w:hAnsi="Times New Roman Regular" w:eastAsia="宋体" w:cs="Times New Roman Regular"/>
          <w:sz w:val="24"/>
          <w:szCs w:val="24"/>
        </w:rPr>
        <w:t>3.4专业课课堂规模</w:t>
      </w:r>
      <w:bookmarkEnd w:id="23"/>
    </w:p>
    <w:p>
      <w:pPr>
        <w:spacing w:line="360" w:lineRule="auto"/>
        <w:jc w:val="center"/>
        <w:rPr>
          <w:rFonts w:ascii="Times New Roman Regular" w:hAnsi="Times New Roman Regular" w:cs="Times New Roman Regular"/>
        </w:rPr>
      </w:pPr>
      <w:r>
        <w:rPr>
          <w:rFonts w:ascii="Times New Roman Regular" w:hAnsi="Times New Roman Regular" w:cs="Times New Roman Regular"/>
        </w:rPr>
        <w:t>表3-7 专业课课堂规模</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1162"/>
        <w:gridCol w:w="1602"/>
        <w:gridCol w:w="1333"/>
        <w:gridCol w:w="167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Align w:val="center"/>
          </w:tcPr>
          <w:p>
            <w:pPr>
              <w:spacing w:line="360" w:lineRule="auto"/>
              <w:jc w:val="center"/>
              <w:rPr>
                <w:rFonts w:ascii="Times New Roman Regular" w:hAnsi="Times New Roman Regular" w:cs="Times New Roman Regular"/>
                <w:sz w:val="21"/>
                <w:szCs w:val="21"/>
              </w:rPr>
            </w:pPr>
          </w:p>
        </w:tc>
        <w:tc>
          <w:tcPr>
            <w:tcW w:w="682" w:type="pct"/>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平均规模</w:t>
            </w:r>
          </w:p>
        </w:tc>
        <w:tc>
          <w:tcPr>
            <w:tcW w:w="940" w:type="pct"/>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30人及以下</w:t>
            </w:r>
          </w:p>
        </w:tc>
        <w:tc>
          <w:tcPr>
            <w:tcW w:w="782" w:type="pct"/>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31-60人</w:t>
            </w:r>
          </w:p>
        </w:tc>
        <w:tc>
          <w:tcPr>
            <w:tcW w:w="982" w:type="pct"/>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61-90人</w:t>
            </w:r>
          </w:p>
        </w:tc>
        <w:tc>
          <w:tcPr>
            <w:tcW w:w="847" w:type="pct"/>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90人以上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数量</w:t>
            </w:r>
          </w:p>
        </w:tc>
        <w:tc>
          <w:tcPr>
            <w:tcW w:w="682" w:type="pct"/>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75.28</w:t>
            </w:r>
          </w:p>
        </w:tc>
        <w:tc>
          <w:tcPr>
            <w:tcW w:w="940" w:type="pct"/>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11</w:t>
            </w:r>
            <w:bookmarkStart w:id="24" w:name="OLE_LINK14"/>
            <w:bookmarkEnd w:id="24"/>
          </w:p>
        </w:tc>
        <w:tc>
          <w:tcPr>
            <w:tcW w:w="782" w:type="pct"/>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62</w:t>
            </w:r>
            <w:bookmarkStart w:id="25" w:name="OLE_LINK15"/>
            <w:bookmarkEnd w:id="25"/>
          </w:p>
        </w:tc>
        <w:tc>
          <w:tcPr>
            <w:tcW w:w="982" w:type="pct"/>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66</w:t>
            </w:r>
          </w:p>
        </w:tc>
        <w:tc>
          <w:tcPr>
            <w:tcW w:w="847" w:type="pct"/>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比例（%）</w:t>
            </w:r>
          </w:p>
        </w:tc>
        <w:tc>
          <w:tcPr>
            <w:tcW w:w="682" w:type="pct"/>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940" w:type="pct"/>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5.61</w:t>
            </w:r>
          </w:p>
        </w:tc>
        <w:tc>
          <w:tcPr>
            <w:tcW w:w="782" w:type="pct"/>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31.63</w:t>
            </w:r>
            <w:bookmarkStart w:id="26" w:name="OLE_LINK16"/>
            <w:bookmarkEnd w:id="26"/>
          </w:p>
        </w:tc>
        <w:tc>
          <w:tcPr>
            <w:tcW w:w="982" w:type="pct"/>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33.67</w:t>
            </w:r>
          </w:p>
        </w:tc>
        <w:tc>
          <w:tcPr>
            <w:tcW w:w="847" w:type="pct"/>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29.08</w:t>
            </w:r>
            <w:bookmarkStart w:id="27" w:name="OLE_LINK17"/>
            <w:bookmarkEnd w:id="27"/>
          </w:p>
        </w:tc>
      </w:tr>
    </w:tbl>
    <w:p>
      <w:pPr>
        <w:spacing w:line="360" w:lineRule="auto"/>
        <w:rPr>
          <w:rFonts w:ascii="Times New Roman Regular" w:hAnsi="Times New Roman Regular" w:cs="Times New Roman Regular"/>
        </w:rPr>
      </w:pPr>
    </w:p>
    <w:p>
      <w:pPr>
        <w:pStyle w:val="4"/>
        <w:spacing w:line="360" w:lineRule="auto"/>
        <w:rPr>
          <w:rFonts w:ascii="Times New Roman Regular" w:hAnsi="Times New Roman Regular" w:eastAsia="宋体" w:cs="Times New Roman Regular"/>
          <w:sz w:val="24"/>
          <w:szCs w:val="24"/>
        </w:rPr>
      </w:pPr>
      <w:bookmarkStart w:id="28" w:name="_Toc973531635"/>
      <w:r>
        <w:rPr>
          <w:rFonts w:ascii="Times New Roman Regular" w:hAnsi="Times New Roman Regular" w:eastAsia="宋体" w:cs="Times New Roman Regular"/>
          <w:sz w:val="24"/>
          <w:szCs w:val="24"/>
        </w:rPr>
        <w:t>3.5专业的核心课程情况</w:t>
      </w:r>
      <w:bookmarkEnd w:id="28"/>
    </w:p>
    <w:p>
      <w:pPr>
        <w:spacing w:line="360" w:lineRule="auto"/>
        <w:jc w:val="center"/>
        <w:rPr>
          <w:rFonts w:ascii="Times New Roman Regular" w:hAnsi="Times New Roman Regular" w:cs="Times New Roman Regular"/>
        </w:rPr>
      </w:pPr>
      <w:r>
        <w:rPr>
          <w:rFonts w:ascii="Times New Roman Regular" w:hAnsi="Times New Roman Regular" w:cs="Times New Roman Regular"/>
        </w:rPr>
        <w:t>表3-8 专业核心课程情况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099"/>
        <w:gridCol w:w="1185"/>
        <w:gridCol w:w="1402"/>
        <w:gridCol w:w="968"/>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课程名称</w:t>
            </w:r>
          </w:p>
        </w:tc>
        <w:tc>
          <w:tcPr>
            <w:tcW w:w="109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课程号</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课程性质</w:t>
            </w:r>
          </w:p>
        </w:tc>
        <w:tc>
          <w:tcPr>
            <w:tcW w:w="140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课程类别</w:t>
            </w:r>
          </w:p>
        </w:tc>
        <w:tc>
          <w:tcPr>
            <w:tcW w:w="96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学分数</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学时数</w:t>
            </w:r>
          </w:p>
        </w:tc>
        <w:tc>
          <w:tcPr>
            <w:tcW w:w="118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平均课堂规模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管理学</w:t>
            </w:r>
          </w:p>
        </w:tc>
        <w:tc>
          <w:tcPr>
            <w:tcW w:w="109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030101</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理论课</w:t>
            </w:r>
          </w:p>
        </w:tc>
        <w:tc>
          <w:tcPr>
            <w:tcW w:w="140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专业必修课,专业选修课</w:t>
            </w:r>
          </w:p>
        </w:tc>
        <w:tc>
          <w:tcPr>
            <w:tcW w:w="96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32</w:t>
            </w:r>
          </w:p>
        </w:tc>
        <w:tc>
          <w:tcPr>
            <w:tcW w:w="118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75.67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统计学</w:t>
            </w:r>
          </w:p>
        </w:tc>
        <w:tc>
          <w:tcPr>
            <w:tcW w:w="109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030205</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理论课</w:t>
            </w:r>
          </w:p>
        </w:tc>
        <w:tc>
          <w:tcPr>
            <w:tcW w:w="140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专业必修课</w:t>
            </w:r>
          </w:p>
        </w:tc>
        <w:tc>
          <w:tcPr>
            <w:tcW w:w="96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48</w:t>
            </w:r>
          </w:p>
        </w:tc>
        <w:tc>
          <w:tcPr>
            <w:tcW w:w="118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71.73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微观经济学</w:t>
            </w:r>
          </w:p>
        </w:tc>
        <w:tc>
          <w:tcPr>
            <w:tcW w:w="109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030207</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理论课</w:t>
            </w:r>
          </w:p>
        </w:tc>
        <w:tc>
          <w:tcPr>
            <w:tcW w:w="140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专业必修课</w:t>
            </w:r>
          </w:p>
        </w:tc>
        <w:tc>
          <w:tcPr>
            <w:tcW w:w="96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48</w:t>
            </w:r>
          </w:p>
        </w:tc>
        <w:tc>
          <w:tcPr>
            <w:tcW w:w="118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77.75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宏观经济学</w:t>
            </w:r>
          </w:p>
        </w:tc>
        <w:tc>
          <w:tcPr>
            <w:tcW w:w="109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030209</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理论课</w:t>
            </w:r>
          </w:p>
        </w:tc>
        <w:tc>
          <w:tcPr>
            <w:tcW w:w="140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专业必修课</w:t>
            </w:r>
          </w:p>
        </w:tc>
        <w:tc>
          <w:tcPr>
            <w:tcW w:w="96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48</w:t>
            </w:r>
          </w:p>
        </w:tc>
        <w:tc>
          <w:tcPr>
            <w:tcW w:w="118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105.44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会计学</w:t>
            </w:r>
          </w:p>
        </w:tc>
        <w:tc>
          <w:tcPr>
            <w:tcW w:w="109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030269</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理论课</w:t>
            </w:r>
          </w:p>
        </w:tc>
        <w:tc>
          <w:tcPr>
            <w:tcW w:w="140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专业必修课</w:t>
            </w:r>
          </w:p>
        </w:tc>
        <w:tc>
          <w:tcPr>
            <w:tcW w:w="96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32</w:t>
            </w:r>
          </w:p>
        </w:tc>
        <w:tc>
          <w:tcPr>
            <w:tcW w:w="118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仓储配送管理</w:t>
            </w:r>
          </w:p>
        </w:tc>
        <w:tc>
          <w:tcPr>
            <w:tcW w:w="109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030409</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理论课</w:t>
            </w:r>
          </w:p>
        </w:tc>
        <w:tc>
          <w:tcPr>
            <w:tcW w:w="140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专业必修课</w:t>
            </w:r>
          </w:p>
        </w:tc>
        <w:tc>
          <w:tcPr>
            <w:tcW w:w="96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48</w:t>
            </w:r>
          </w:p>
        </w:tc>
        <w:tc>
          <w:tcPr>
            <w:tcW w:w="118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物流运输管理实务</w:t>
            </w:r>
          </w:p>
        </w:tc>
        <w:tc>
          <w:tcPr>
            <w:tcW w:w="109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030417</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理论课</w:t>
            </w:r>
          </w:p>
        </w:tc>
        <w:tc>
          <w:tcPr>
            <w:tcW w:w="140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专业必修课</w:t>
            </w:r>
          </w:p>
        </w:tc>
        <w:tc>
          <w:tcPr>
            <w:tcW w:w="96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32</w:t>
            </w:r>
          </w:p>
        </w:tc>
        <w:tc>
          <w:tcPr>
            <w:tcW w:w="118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库存管理</w:t>
            </w:r>
          </w:p>
        </w:tc>
        <w:tc>
          <w:tcPr>
            <w:tcW w:w="109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030441</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理论课</w:t>
            </w:r>
          </w:p>
        </w:tc>
        <w:tc>
          <w:tcPr>
            <w:tcW w:w="140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专业必修课</w:t>
            </w:r>
          </w:p>
        </w:tc>
        <w:tc>
          <w:tcPr>
            <w:tcW w:w="96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32</w:t>
            </w:r>
          </w:p>
        </w:tc>
        <w:tc>
          <w:tcPr>
            <w:tcW w:w="118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国际物流</w:t>
            </w:r>
          </w:p>
        </w:tc>
        <w:tc>
          <w:tcPr>
            <w:tcW w:w="109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030442</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理论课</w:t>
            </w:r>
          </w:p>
        </w:tc>
        <w:tc>
          <w:tcPr>
            <w:tcW w:w="140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专业必修课</w:t>
            </w:r>
          </w:p>
        </w:tc>
        <w:tc>
          <w:tcPr>
            <w:tcW w:w="96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32</w:t>
            </w:r>
          </w:p>
        </w:tc>
        <w:tc>
          <w:tcPr>
            <w:tcW w:w="118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第三方物流</w:t>
            </w:r>
          </w:p>
        </w:tc>
        <w:tc>
          <w:tcPr>
            <w:tcW w:w="109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030443</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理论课</w:t>
            </w:r>
          </w:p>
        </w:tc>
        <w:tc>
          <w:tcPr>
            <w:tcW w:w="140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专业必修课</w:t>
            </w:r>
          </w:p>
        </w:tc>
        <w:tc>
          <w:tcPr>
            <w:tcW w:w="96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32</w:t>
            </w:r>
          </w:p>
        </w:tc>
        <w:tc>
          <w:tcPr>
            <w:tcW w:w="118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供应链管理</w:t>
            </w:r>
          </w:p>
        </w:tc>
        <w:tc>
          <w:tcPr>
            <w:tcW w:w="109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033401</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理论课</w:t>
            </w:r>
          </w:p>
        </w:tc>
        <w:tc>
          <w:tcPr>
            <w:tcW w:w="140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专业选修课</w:t>
            </w:r>
          </w:p>
        </w:tc>
        <w:tc>
          <w:tcPr>
            <w:tcW w:w="96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32</w:t>
            </w:r>
          </w:p>
        </w:tc>
        <w:tc>
          <w:tcPr>
            <w:tcW w:w="118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物流经济学</w:t>
            </w:r>
          </w:p>
        </w:tc>
        <w:tc>
          <w:tcPr>
            <w:tcW w:w="109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033402</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理论课</w:t>
            </w:r>
          </w:p>
        </w:tc>
        <w:tc>
          <w:tcPr>
            <w:tcW w:w="140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专业必修课</w:t>
            </w:r>
          </w:p>
        </w:tc>
        <w:tc>
          <w:tcPr>
            <w:tcW w:w="96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32</w:t>
            </w:r>
          </w:p>
        </w:tc>
        <w:tc>
          <w:tcPr>
            <w:tcW w:w="118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物流工程</w:t>
            </w:r>
          </w:p>
        </w:tc>
        <w:tc>
          <w:tcPr>
            <w:tcW w:w="109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033403</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理论课</w:t>
            </w:r>
          </w:p>
        </w:tc>
        <w:tc>
          <w:tcPr>
            <w:tcW w:w="140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专业必修课</w:t>
            </w:r>
          </w:p>
        </w:tc>
        <w:tc>
          <w:tcPr>
            <w:tcW w:w="96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32</w:t>
            </w:r>
          </w:p>
        </w:tc>
        <w:tc>
          <w:tcPr>
            <w:tcW w:w="118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物流系统规划与设计</w:t>
            </w:r>
          </w:p>
        </w:tc>
        <w:tc>
          <w:tcPr>
            <w:tcW w:w="109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033405</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理论课</w:t>
            </w:r>
          </w:p>
        </w:tc>
        <w:tc>
          <w:tcPr>
            <w:tcW w:w="140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专业必修课</w:t>
            </w:r>
          </w:p>
        </w:tc>
        <w:tc>
          <w:tcPr>
            <w:tcW w:w="96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32</w:t>
            </w:r>
          </w:p>
        </w:tc>
        <w:tc>
          <w:tcPr>
            <w:tcW w:w="118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物流学概论</w:t>
            </w:r>
          </w:p>
        </w:tc>
        <w:tc>
          <w:tcPr>
            <w:tcW w:w="109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033912</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理论课</w:t>
            </w:r>
          </w:p>
        </w:tc>
        <w:tc>
          <w:tcPr>
            <w:tcW w:w="140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专业选修课</w:t>
            </w:r>
          </w:p>
        </w:tc>
        <w:tc>
          <w:tcPr>
            <w:tcW w:w="96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118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32</w:t>
            </w:r>
          </w:p>
        </w:tc>
        <w:tc>
          <w:tcPr>
            <w:tcW w:w="118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58.33</w:t>
            </w:r>
          </w:p>
        </w:tc>
      </w:tr>
    </w:tbl>
    <w:p>
      <w:pPr>
        <w:spacing w:line="360" w:lineRule="auto"/>
        <w:rPr>
          <w:rFonts w:ascii="Times New Roman Regular" w:hAnsi="Times New Roman Regular" w:cs="Times New Roman Regular"/>
        </w:rPr>
      </w:pPr>
    </w:p>
    <w:p>
      <w:pPr>
        <w:pStyle w:val="4"/>
        <w:spacing w:line="360" w:lineRule="auto"/>
        <w:rPr>
          <w:rFonts w:ascii="Times New Roman Regular" w:hAnsi="Times New Roman Regular" w:eastAsia="宋体" w:cs="Times New Roman Regular"/>
          <w:sz w:val="24"/>
          <w:szCs w:val="24"/>
        </w:rPr>
      </w:pPr>
      <w:bookmarkStart w:id="29" w:name="_Toc468282952"/>
      <w:r>
        <w:rPr>
          <w:rFonts w:ascii="Times New Roman Regular" w:hAnsi="Times New Roman Regular" w:eastAsia="宋体" w:cs="Times New Roman Regular"/>
          <w:sz w:val="24"/>
          <w:szCs w:val="24"/>
        </w:rPr>
        <w:t>3.6实验教学情况</w:t>
      </w:r>
      <w:bookmarkEnd w:id="29"/>
    </w:p>
    <w:p>
      <w:pPr>
        <w:spacing w:line="360" w:lineRule="auto"/>
        <w:jc w:val="center"/>
        <w:rPr>
          <w:rFonts w:ascii="Times New Roman Regular" w:hAnsi="Times New Roman Regular" w:cs="Times New Roman Regular"/>
        </w:rPr>
      </w:pPr>
      <w:r>
        <w:rPr>
          <w:rFonts w:ascii="Times New Roman Regular" w:hAnsi="Times New Roman Regular" w:cs="Times New Roman Regular"/>
        </w:rPr>
        <w:t>表3-9 实验教学情况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项目</w:t>
            </w:r>
          </w:p>
        </w:tc>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实验教学学分</w:t>
            </w:r>
          </w:p>
        </w:tc>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6.87</w:t>
            </w:r>
            <w:bookmarkStart w:id="30" w:name="OLE_LINK18"/>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占总学分（％）</w:t>
            </w:r>
          </w:p>
        </w:tc>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学年内开设实验课门数</w:t>
            </w:r>
          </w:p>
        </w:tc>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实验课程平均课堂规模</w:t>
            </w:r>
          </w:p>
        </w:tc>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专业实验教学仪器设备值</w:t>
            </w:r>
          </w:p>
        </w:tc>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1635708</w:t>
            </w:r>
          </w:p>
        </w:tc>
      </w:tr>
    </w:tbl>
    <w:p>
      <w:pPr>
        <w:spacing w:line="360" w:lineRule="auto"/>
        <w:rPr>
          <w:rFonts w:ascii="Times New Roman Regular" w:hAnsi="Times New Roman Regular" w:cs="Times New Roman Regular"/>
        </w:rPr>
      </w:pPr>
    </w:p>
    <w:p>
      <w:pPr>
        <w:pStyle w:val="4"/>
        <w:spacing w:line="360" w:lineRule="auto"/>
        <w:rPr>
          <w:rFonts w:ascii="Times New Roman Regular" w:hAnsi="Times New Roman Regular" w:eastAsia="宋体" w:cs="Times New Roman Regular"/>
          <w:sz w:val="24"/>
          <w:szCs w:val="24"/>
        </w:rPr>
      </w:pPr>
      <w:bookmarkStart w:id="31" w:name="_Toc2051491656"/>
      <w:r>
        <w:rPr>
          <w:rFonts w:ascii="Times New Roman Regular" w:hAnsi="Times New Roman Regular" w:eastAsia="宋体" w:cs="Times New Roman Regular"/>
          <w:sz w:val="24"/>
          <w:szCs w:val="24"/>
        </w:rPr>
        <w:t>3.7实践教学情况</w:t>
      </w:r>
      <w:bookmarkEnd w:id="31"/>
    </w:p>
    <w:p>
      <w:pPr>
        <w:pStyle w:val="5"/>
        <w:spacing w:before="0" w:after="0" w:line="360" w:lineRule="auto"/>
        <w:rPr>
          <w:rFonts w:ascii="Times New Roman Regular" w:hAnsi="Times New Roman Regular" w:cs="Times New Roman Regular"/>
          <w:b w:val="0"/>
          <w:bCs w:val="0"/>
          <w:sz w:val="24"/>
          <w:szCs w:val="24"/>
        </w:rPr>
      </w:pPr>
      <w:r>
        <w:rPr>
          <w:rFonts w:ascii="Times New Roman Regular" w:hAnsi="Times New Roman Regular" w:cs="Times New Roman Regular"/>
          <w:b w:val="0"/>
          <w:bCs w:val="0"/>
          <w:sz w:val="24"/>
          <w:szCs w:val="24"/>
        </w:rPr>
        <w:t>3.7.1 专业实验实践教学总学时、总学分占比情况</w:t>
      </w:r>
    </w:p>
    <w:p>
      <w:pPr>
        <w:shd w:val="clear" w:color="auto" w:fill="FFFFFF"/>
        <w:adjustRightInd w:val="0"/>
        <w:snapToGrid w:val="0"/>
        <w:spacing w:line="360" w:lineRule="auto"/>
        <w:contextualSpacing/>
        <w:jc w:val="center"/>
        <w:rPr>
          <w:rFonts w:ascii="Times New Roman Regular" w:hAnsi="Times New Roman Regular" w:cs="Times New Roman Regular"/>
          <w:color w:val="333333"/>
          <w:highlight w:val="yellow"/>
        </w:rPr>
      </w:pPr>
      <w:r>
        <w:rPr>
          <w:rFonts w:ascii="Times New Roman Regular" w:hAnsi="Times New Roman Regular" w:cs="Times New Roman Regular"/>
          <w:color w:val="333333"/>
        </w:rPr>
        <w:t>表3-10 专业实践教学情况</w:t>
      </w:r>
    </w:p>
    <w:tbl>
      <w:tblPr>
        <w:tblStyle w:val="17"/>
        <w:tblW w:w="8349"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5" w:type="dxa"/>
          <w:left w:w="15" w:type="dxa"/>
          <w:bottom w:w="15" w:type="dxa"/>
          <w:right w:w="15" w:type="dxa"/>
        </w:tblCellMar>
      </w:tblPr>
      <w:tblGrid>
        <w:gridCol w:w="696"/>
        <w:gridCol w:w="1900"/>
        <w:gridCol w:w="572"/>
        <w:gridCol w:w="2174"/>
        <w:gridCol w:w="3007"/>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520" w:hRule="atLeast"/>
          <w:tblHeader/>
        </w:trPr>
        <w:tc>
          <w:tcPr>
            <w:tcW w:w="2596" w:type="dxa"/>
            <w:gridSpan w:val="2"/>
            <w:tcBorders>
              <w:top w:val="single" w:color="000000" w:themeColor="text1" w:sz="8" w:space="0"/>
              <w:left w:val="single" w:color="000000" w:themeColor="text1" w:sz="8" w:space="0"/>
              <w:bottom w:val="single" w:color="000000" w:themeColor="text1" w:sz="8" w:space="0"/>
              <w:right w:val="single" w:color="000000" w:sz="8" w:space="0"/>
            </w:tcBorders>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实践教学</w:t>
            </w:r>
          </w:p>
        </w:tc>
        <w:tc>
          <w:tcPr>
            <w:tcW w:w="575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其中:实验教学</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975" w:hRule="atLeast"/>
          <w:tblHeader/>
        </w:trPr>
        <w:tc>
          <w:tcPr>
            <w:tcW w:w="69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学分</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占总学分比（％）</w:t>
            </w:r>
          </w:p>
        </w:tc>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学分</w:t>
            </w:r>
          </w:p>
        </w:tc>
        <w:tc>
          <w:tcPr>
            <w:tcW w:w="2174" w:type="dxa"/>
            <w:tcBorders>
              <w:top w:val="single" w:color="000000" w:themeColor="text1" w:sz="8" w:space="0"/>
              <w:left w:val="single" w:color="000000" w:themeColor="text1" w:sz="8" w:space="0"/>
              <w:bottom w:val="single" w:color="000000" w:themeColor="text1" w:sz="8" w:space="0"/>
              <w:right w:val="single" w:color="000000" w:sz="8" w:space="0"/>
            </w:tcBorders>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占总学分比（％）</w:t>
            </w:r>
          </w:p>
        </w:tc>
        <w:tc>
          <w:tcPr>
            <w:tcW w:w="300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独立开设实验课程门数</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9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28</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18.3</w:t>
            </w:r>
          </w:p>
        </w:tc>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6.87</w:t>
            </w:r>
          </w:p>
        </w:tc>
        <w:tc>
          <w:tcPr>
            <w:tcW w:w="217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4.49</w:t>
            </w:r>
          </w:p>
        </w:tc>
        <w:tc>
          <w:tcPr>
            <w:tcW w:w="3007" w:type="dxa"/>
            <w:tcBorders>
              <w:top w:val="single" w:color="000000" w:sz="8" w:space="0"/>
              <w:left w:val="single" w:color="000000" w:themeColor="text1" w:sz="8" w:space="0"/>
              <w:bottom w:val="single" w:color="000000" w:themeColor="text1" w:sz="8" w:space="0"/>
              <w:right w:val="single" w:color="000000" w:themeColor="text1" w:sz="8" w:space="0"/>
            </w:tcBorders>
            <w:shd w:val="clear" w:color="auto" w:fill="FFFFFF"/>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w:t>
            </w:r>
          </w:p>
        </w:tc>
      </w:tr>
    </w:tbl>
    <w:p>
      <w:pPr>
        <w:pStyle w:val="5"/>
        <w:spacing w:before="0" w:after="0" w:line="360" w:lineRule="auto"/>
        <w:rPr>
          <w:rFonts w:ascii="Times New Roman Regular" w:hAnsi="Times New Roman Regular" w:cs="Times New Roman Regular"/>
          <w:b w:val="0"/>
          <w:bCs w:val="0"/>
          <w:sz w:val="24"/>
          <w:szCs w:val="24"/>
        </w:rPr>
      </w:pPr>
      <w:r>
        <w:rPr>
          <w:rFonts w:ascii="Times New Roman Regular" w:hAnsi="Times New Roman Regular" w:cs="Times New Roman Regular"/>
          <w:b w:val="0"/>
          <w:bCs w:val="0"/>
          <w:sz w:val="24"/>
          <w:szCs w:val="24"/>
        </w:rPr>
        <w:t>3.7.2. 实验教学大纲、实习（实训）教学大纲修订情况</w:t>
      </w:r>
    </w:p>
    <w:p>
      <w:pPr>
        <w:adjustRightInd w:val="0"/>
        <w:snapToGrid w:val="0"/>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（1）实验开设与实验内容</w:t>
      </w:r>
    </w:p>
    <w:p>
      <w:pPr>
        <w:adjustRightInd w:val="0"/>
        <w:snapToGrid w:val="0"/>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目前，本专业教学计划实验完全按照培养计划开出。实验开出率达到100%。</w:t>
      </w:r>
    </w:p>
    <w:p>
      <w:pPr>
        <w:adjustRightInd w:val="0"/>
        <w:snapToGrid w:val="0"/>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（2）实验教学大纲等基本教学文件</w:t>
      </w:r>
    </w:p>
    <w:p>
      <w:pPr>
        <w:adjustRightInd w:val="0"/>
        <w:snapToGrid w:val="0"/>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实验教学必须提交实验大纲、实验指导书，实验结束必须百分之百归档五件套：大纲、指导书、成绩单、实验报告、实验教学小结。</w:t>
      </w:r>
    </w:p>
    <w:p>
      <w:pPr>
        <w:adjustRightInd w:val="0"/>
        <w:snapToGrid w:val="0"/>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（3）实习开展情况</w:t>
      </w:r>
    </w:p>
    <w:p>
      <w:pPr>
        <w:adjustRightInd w:val="0"/>
        <w:snapToGrid w:val="0"/>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本专业学生的实习包括专业实习、产学合作实习等多种形式。要求有实习计划、实习大纲、实习指导书、实习报告、实习总结。</w:t>
      </w:r>
    </w:p>
    <w:p>
      <w:pPr>
        <w:pStyle w:val="5"/>
        <w:spacing w:before="0" w:after="0" w:line="360" w:lineRule="auto"/>
        <w:rPr>
          <w:rFonts w:ascii="Times New Roman Regular" w:hAnsi="Times New Roman Regular" w:cs="Times New Roman Regular"/>
          <w:b w:val="0"/>
          <w:bCs w:val="0"/>
          <w:sz w:val="24"/>
          <w:szCs w:val="24"/>
        </w:rPr>
      </w:pPr>
      <w:r>
        <w:rPr>
          <w:rFonts w:ascii="Times New Roman Regular" w:hAnsi="Times New Roman Regular" w:cs="Times New Roman Regular"/>
          <w:b w:val="0"/>
          <w:bCs w:val="0"/>
          <w:sz w:val="24"/>
          <w:szCs w:val="24"/>
        </w:rPr>
        <w:t>3.7.3. 实践类课程建设和开设情况</w:t>
      </w:r>
    </w:p>
    <w:p>
      <w:pPr>
        <w:adjustRightInd w:val="0"/>
        <w:snapToGrid w:val="0"/>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通过课内实验、专业实习、综合实习、课程设计、合作教育等形式多样的实践教学，使学生在扎实的基础理论和专业知识的基础上，具备分析与解决实际问题的能力。其中，综合实习为制造技术基础实习C，专业实习包括生产企业物流模拟实习、仓储配送模拟实习、运输物流模拟实习，课程设计为物流系统规划与设计课程设计。</w:t>
      </w:r>
    </w:p>
    <w:p>
      <w:pPr>
        <w:pStyle w:val="5"/>
        <w:spacing w:before="0" w:after="0" w:line="360" w:lineRule="auto"/>
        <w:rPr>
          <w:rFonts w:ascii="Times New Roman Regular" w:hAnsi="Times New Roman Regular" w:cs="Times New Roman Regular"/>
          <w:b w:val="0"/>
          <w:bCs w:val="0"/>
          <w:sz w:val="24"/>
          <w:szCs w:val="24"/>
        </w:rPr>
      </w:pPr>
      <w:r>
        <w:rPr>
          <w:rFonts w:ascii="Times New Roman Regular" w:hAnsi="Times New Roman Regular" w:cs="Times New Roman Regular"/>
          <w:b w:val="0"/>
          <w:bCs w:val="0"/>
          <w:sz w:val="24"/>
          <w:szCs w:val="24"/>
        </w:rPr>
        <w:t>3.7.4. 专业实验室建设与开放利用情况</w:t>
      </w:r>
    </w:p>
    <w:p>
      <w:pPr>
        <w:adjustRightInd w:val="0"/>
        <w:snapToGrid w:val="0"/>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本专业共有3个专业校内实验室，总面积（含共用）421.7平方米。实验室名称为物流管理综合实验室，内容涵盖：物流系统规划与设计课程设计、生产企业物流模拟实习、仓储配送模拟实习、运输物流模拟实习。目前，本专业按教学方案和教学计划实验开出率为100%。综合性、设计性实验目前开出率达到100%。另开设开放性创新实践教学课程1项。</w:t>
      </w:r>
    </w:p>
    <w:p>
      <w:pPr>
        <w:spacing w:line="360" w:lineRule="auto"/>
        <w:rPr>
          <w:rFonts w:ascii="Times New Roman Regular" w:hAnsi="Times New Roman Regular" w:cs="Times New Roman Regular"/>
        </w:rPr>
      </w:pPr>
    </w:p>
    <w:p>
      <w:pPr>
        <w:shd w:val="clear" w:color="auto" w:fill="FFFFFF"/>
        <w:adjustRightInd w:val="0"/>
        <w:snapToGrid w:val="0"/>
        <w:spacing w:line="360" w:lineRule="auto"/>
        <w:contextualSpacing/>
        <w:jc w:val="center"/>
        <w:rPr>
          <w:rFonts w:ascii="Times New Roman Regular" w:hAnsi="Times New Roman Regular" w:cs="Times New Roman Regular"/>
          <w:color w:val="333333"/>
        </w:rPr>
      </w:pPr>
      <w:r>
        <w:rPr>
          <w:rFonts w:ascii="Times New Roman Regular" w:hAnsi="Times New Roman Regular" w:cs="Times New Roman Regular"/>
          <w:color w:val="333333"/>
        </w:rPr>
        <w:t>表3-11 专业校内实验室使用情况</w:t>
      </w:r>
    </w:p>
    <w:tbl>
      <w:tblPr>
        <w:tblStyle w:val="17"/>
        <w:tblW w:w="8299"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5" w:type="dxa"/>
          <w:left w:w="15" w:type="dxa"/>
          <w:bottom w:w="15" w:type="dxa"/>
          <w:right w:w="15" w:type="dxa"/>
        </w:tblCellMar>
      </w:tblPr>
      <w:tblGrid>
        <w:gridCol w:w="426"/>
        <w:gridCol w:w="945"/>
        <w:gridCol w:w="944"/>
        <w:gridCol w:w="712"/>
        <w:gridCol w:w="1046"/>
        <w:gridCol w:w="362"/>
        <w:gridCol w:w="1062"/>
        <w:gridCol w:w="1044"/>
        <w:gridCol w:w="712"/>
        <w:gridCol w:w="1046"/>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503" w:hRule="atLeast"/>
          <w:tblHeader/>
        </w:trPr>
        <w:tc>
          <w:tcPr>
            <w:tcW w:w="4073" w:type="dxa"/>
            <w:gridSpan w:val="5"/>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基础实验室</w:t>
            </w:r>
          </w:p>
        </w:tc>
        <w:tc>
          <w:tcPr>
            <w:tcW w:w="4226" w:type="dxa"/>
            <w:gridSpan w:val="5"/>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专业实验室</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858" w:hRule="atLeast"/>
          <w:tblHeader/>
        </w:trPr>
        <w:tc>
          <w:tcPr>
            <w:tcW w:w="4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数量</w:t>
            </w:r>
          </w:p>
        </w:tc>
        <w:tc>
          <w:tcPr>
            <w:tcW w:w="94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承担实验课程门数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面积</w:t>
            </w:r>
          </w:p>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（m</w:t>
            </w:r>
            <w:r>
              <w:rPr>
                <w:rFonts w:ascii="Times New Roman Regular" w:hAnsi="Times New Roman Regular" w:cs="Times New Roman Regular"/>
                <w:sz w:val="21"/>
                <w:szCs w:val="21"/>
                <w:vertAlign w:val="superscript"/>
              </w:rPr>
              <w:t>2</w:t>
            </w:r>
            <w:r>
              <w:rPr>
                <w:rFonts w:ascii="Times New Roman Regular" w:hAnsi="Times New Roman Regular" w:cs="Times New Roman Regular"/>
                <w:sz w:val="21"/>
                <w:szCs w:val="21"/>
              </w:rPr>
              <w:t>）</w:t>
            </w:r>
          </w:p>
        </w:tc>
        <w:tc>
          <w:tcPr>
            <w:tcW w:w="71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设备台套数</w:t>
            </w:r>
          </w:p>
        </w:tc>
        <w:tc>
          <w:tcPr>
            <w:tcW w:w="104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设备值</w:t>
            </w:r>
          </w:p>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（万元）</w:t>
            </w:r>
          </w:p>
        </w:tc>
        <w:tc>
          <w:tcPr>
            <w:tcW w:w="36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数量</w:t>
            </w:r>
          </w:p>
        </w:tc>
        <w:tc>
          <w:tcPr>
            <w:tcW w:w="106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承担实验课程门数</w:t>
            </w:r>
          </w:p>
        </w:tc>
        <w:tc>
          <w:tcPr>
            <w:tcW w:w="104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面积</w:t>
            </w:r>
          </w:p>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（m</w:t>
            </w:r>
            <w:r>
              <w:rPr>
                <w:rFonts w:ascii="Times New Roman Regular" w:hAnsi="Times New Roman Regular" w:cs="Times New Roman Regular"/>
                <w:sz w:val="21"/>
                <w:szCs w:val="21"/>
                <w:vertAlign w:val="superscript"/>
              </w:rPr>
              <w:t>2</w:t>
            </w:r>
            <w:r>
              <w:rPr>
                <w:rFonts w:ascii="Times New Roman Regular" w:hAnsi="Times New Roman Regular" w:cs="Times New Roman Regular"/>
                <w:sz w:val="21"/>
                <w:szCs w:val="21"/>
              </w:rPr>
              <w:t>）</w:t>
            </w:r>
          </w:p>
        </w:tc>
        <w:tc>
          <w:tcPr>
            <w:tcW w:w="71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设备台套数</w:t>
            </w:r>
          </w:p>
        </w:tc>
        <w:tc>
          <w:tcPr>
            <w:tcW w:w="104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设备值</w:t>
            </w:r>
          </w:p>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（万元）</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518" w:hRule="atLeast"/>
        </w:trPr>
        <w:tc>
          <w:tcPr>
            <w:tcW w:w="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288</w:t>
            </w:r>
          </w:p>
        </w:tc>
        <w:tc>
          <w:tcPr>
            <w:tcW w:w="7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166</w:t>
            </w:r>
          </w:p>
        </w:tc>
        <w:tc>
          <w:tcPr>
            <w:tcW w:w="10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158.01</w:t>
            </w:r>
          </w:p>
        </w:tc>
        <w:tc>
          <w:tcPr>
            <w:tcW w:w="3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w:t>
            </w:r>
          </w:p>
        </w:tc>
        <w:tc>
          <w:tcPr>
            <w:tcW w:w="10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1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133.70</w:t>
            </w:r>
          </w:p>
        </w:tc>
        <w:tc>
          <w:tcPr>
            <w:tcW w:w="7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85</w:t>
            </w:r>
          </w:p>
        </w:tc>
        <w:tc>
          <w:tcPr>
            <w:tcW w:w="10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63.13</w:t>
            </w:r>
          </w:p>
        </w:tc>
      </w:tr>
    </w:tbl>
    <w:p>
      <w:pPr>
        <w:pStyle w:val="5"/>
        <w:spacing w:before="0" w:after="0" w:line="360" w:lineRule="auto"/>
        <w:rPr>
          <w:rFonts w:ascii="Times New Roman Regular" w:hAnsi="Times New Roman Regular" w:cs="Times New Roman Regular"/>
          <w:b w:val="0"/>
          <w:bCs w:val="0"/>
          <w:sz w:val="24"/>
          <w:szCs w:val="24"/>
        </w:rPr>
      </w:pPr>
      <w:r>
        <w:rPr>
          <w:rFonts w:ascii="Times New Roman Regular" w:hAnsi="Times New Roman Regular" w:cs="Times New Roman Regular"/>
          <w:b w:val="0"/>
          <w:bCs w:val="0"/>
          <w:sz w:val="24"/>
          <w:szCs w:val="24"/>
        </w:rPr>
        <w:t>3.7.5. 校外实习基地建设与利用情况</w:t>
      </w:r>
    </w:p>
    <w:p>
      <w:pPr>
        <w:adjustRightInd w:val="0"/>
        <w:snapToGrid w:val="0"/>
        <w:spacing w:line="360" w:lineRule="auto"/>
        <w:ind w:firstLine="482"/>
        <w:rPr>
          <w:rFonts w:hint="eastAsia" w:ascii="Times New Roman Regular" w:hAnsi="Times New Roman Regular" w:cs="Times New Roman Regular"/>
        </w:rPr>
      </w:pPr>
      <w:r>
        <w:rPr>
          <w:rFonts w:ascii="Times New Roman Regular" w:hAnsi="Times New Roman Regular" w:cs="Times New Roman Regular"/>
        </w:rPr>
        <w:t>目前本专业已与上海郑明现代物流有限公司、上海卓昕瑞供应链管理有限公司等10家企业先后签订了实习、产学研合作协议，为本专业学生开展实习、实践、产学合作教育提供了保障。</w:t>
      </w:r>
    </w:p>
    <w:p>
      <w:pPr>
        <w:pStyle w:val="4"/>
        <w:spacing w:line="360" w:lineRule="auto"/>
        <w:rPr>
          <w:rFonts w:ascii="Times New Roman Regular" w:hAnsi="Times New Roman Regular" w:eastAsia="宋体" w:cs="Times New Roman Regular"/>
          <w:sz w:val="24"/>
          <w:szCs w:val="24"/>
        </w:rPr>
      </w:pPr>
      <w:bookmarkStart w:id="32" w:name="_Toc1570309807"/>
      <w:r>
        <w:rPr>
          <w:rFonts w:ascii="Times New Roman Regular" w:hAnsi="Times New Roman Regular" w:eastAsia="宋体" w:cs="Times New Roman Regular"/>
          <w:sz w:val="24"/>
          <w:szCs w:val="24"/>
        </w:rPr>
        <w:t>3.8创新创业教育</w:t>
      </w:r>
      <w:bookmarkEnd w:id="32"/>
    </w:p>
    <w:p>
      <w:pPr>
        <w:shd w:val="clear" w:color="auto" w:fill="FFFFFF"/>
        <w:adjustRightInd w:val="0"/>
        <w:snapToGrid w:val="0"/>
        <w:spacing w:line="360" w:lineRule="auto"/>
        <w:ind w:firstLine="480" w:firstLineChars="200"/>
        <w:contextualSpacing/>
        <w:jc w:val="both"/>
        <w:rPr>
          <w:rFonts w:ascii="Times New Roman Regular" w:hAnsi="Times New Roman Regular" w:cs="Times New Roman Regular"/>
          <w:color w:val="333333"/>
        </w:rPr>
      </w:pPr>
      <w:r>
        <w:rPr>
          <w:rFonts w:ascii="Times New Roman Regular" w:hAnsi="Times New Roman Regular" w:cs="Times New Roman Regular"/>
          <w:color w:val="333333"/>
        </w:rPr>
        <w:t>物流管理专业教师指导学生申报、完成创新项目创业项目。同时，物流管理专业联动行业协会、龙头企业承办“云丰杯”第七届全国绿色供应链与逆向物流设计大赛决赛（国赛）、上海市绿色供应链与逆向物流设计大赛决赛（省赛），为学生搭建专业竞赛平台，有力提升了学校和专业的知名度，提升了学生专业能力。赛事吸引了全国众多知名高校超过500位师生参赛，中国教育在线、东方网等主流教育媒体报道，在业界取得良好口碑，我系刘峥老师、赵程程老师等指导学生获得国赛二等奖、三等奖，市赛一等奖、二等奖等，有力提高了学校、学院和两个专业在全国和上海的知名度，同时也为今后持续强化专业建设奠定了基础。</w:t>
      </w:r>
    </w:p>
    <w:p>
      <w:pPr>
        <w:shd w:val="clear" w:color="auto" w:fill="FFFFFF"/>
        <w:adjustRightInd w:val="0"/>
        <w:snapToGrid w:val="0"/>
        <w:spacing w:line="360" w:lineRule="auto"/>
        <w:contextualSpacing/>
        <w:jc w:val="center"/>
        <w:rPr>
          <w:rFonts w:ascii="Times New Roman Regular" w:hAnsi="Times New Roman Regular" w:cs="Times New Roman Regular"/>
          <w:color w:val="333333"/>
        </w:rPr>
      </w:pPr>
      <w:r>
        <w:rPr>
          <w:rFonts w:ascii="Times New Roman Regular" w:hAnsi="Times New Roman Regular" w:cs="Times New Roman Regular"/>
        </w:rPr>
        <w:t>表3-12 本专业获国家、市、校级创新创业项目建设情况</w:t>
      </w:r>
    </w:p>
    <w:tbl>
      <w:tblPr>
        <w:tblStyle w:val="17"/>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18"/>
        <w:gridCol w:w="3535"/>
        <w:gridCol w:w="1235"/>
        <w:gridCol w:w="992"/>
        <w:gridCol w:w="113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77" w:hRule="atLeast"/>
          <w:jc w:val="center"/>
        </w:trPr>
        <w:tc>
          <w:tcPr>
            <w:tcW w:w="718"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序号</w:t>
            </w:r>
          </w:p>
        </w:tc>
        <w:tc>
          <w:tcPr>
            <w:tcW w:w="3535"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项目名称</w:t>
            </w:r>
          </w:p>
        </w:tc>
        <w:tc>
          <w:tcPr>
            <w:tcW w:w="1235"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指导教师</w:t>
            </w:r>
          </w:p>
        </w:tc>
        <w:tc>
          <w:tcPr>
            <w:tcW w:w="992"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级别</w:t>
            </w:r>
          </w:p>
        </w:tc>
        <w:tc>
          <w:tcPr>
            <w:tcW w:w="1134"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类别</w:t>
            </w:r>
          </w:p>
        </w:tc>
        <w:tc>
          <w:tcPr>
            <w:tcW w:w="993"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28" w:hRule="atLeast"/>
          <w:jc w:val="center"/>
        </w:trPr>
        <w:tc>
          <w:tcPr>
            <w:tcW w:w="718"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w:t>
            </w:r>
          </w:p>
        </w:tc>
        <w:tc>
          <w:tcPr>
            <w:tcW w:w="3535"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中国创新联合体参与全球人工智能技术创新网络的位势提升路径研究</w:t>
            </w:r>
          </w:p>
        </w:tc>
        <w:tc>
          <w:tcPr>
            <w:tcW w:w="1235"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赵程程，刘峥</w:t>
            </w:r>
          </w:p>
        </w:tc>
        <w:tc>
          <w:tcPr>
            <w:tcW w:w="992"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国家级</w:t>
            </w:r>
          </w:p>
        </w:tc>
        <w:tc>
          <w:tcPr>
            <w:tcW w:w="1134"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创新项目</w:t>
            </w:r>
          </w:p>
        </w:tc>
        <w:tc>
          <w:tcPr>
            <w:tcW w:w="993"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28" w:hRule="atLeast"/>
          <w:jc w:val="center"/>
        </w:trPr>
        <w:tc>
          <w:tcPr>
            <w:tcW w:w="718"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3535"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区块链对跨境电商业务发展模式的模拟与再造研究</w:t>
            </w:r>
          </w:p>
        </w:tc>
        <w:tc>
          <w:tcPr>
            <w:tcW w:w="1235"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刘峥</w:t>
            </w:r>
          </w:p>
        </w:tc>
        <w:tc>
          <w:tcPr>
            <w:tcW w:w="992"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市级</w:t>
            </w:r>
          </w:p>
        </w:tc>
        <w:tc>
          <w:tcPr>
            <w:tcW w:w="1134"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创新项目</w:t>
            </w:r>
          </w:p>
        </w:tc>
        <w:tc>
          <w:tcPr>
            <w:tcW w:w="993"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28" w:hRule="atLeast"/>
          <w:jc w:val="center"/>
        </w:trPr>
        <w:tc>
          <w:tcPr>
            <w:tcW w:w="718"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w:t>
            </w:r>
          </w:p>
        </w:tc>
        <w:tc>
          <w:tcPr>
            <w:tcW w:w="3535"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“互联网+”背景下废旧手机回收物流模式分析——以上海市为例</w:t>
            </w:r>
          </w:p>
        </w:tc>
        <w:tc>
          <w:tcPr>
            <w:tcW w:w="1235"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刘娜</w:t>
            </w:r>
          </w:p>
        </w:tc>
        <w:tc>
          <w:tcPr>
            <w:tcW w:w="992"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市级</w:t>
            </w:r>
          </w:p>
        </w:tc>
        <w:tc>
          <w:tcPr>
            <w:tcW w:w="1134"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创新项目</w:t>
            </w:r>
          </w:p>
        </w:tc>
        <w:tc>
          <w:tcPr>
            <w:tcW w:w="993"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28" w:hRule="atLeast"/>
          <w:jc w:val="center"/>
        </w:trPr>
        <w:tc>
          <w:tcPr>
            <w:tcW w:w="718"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4</w:t>
            </w:r>
          </w:p>
        </w:tc>
        <w:tc>
          <w:tcPr>
            <w:tcW w:w="3535"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跨越数字鸿沟——老年人养老普惠金融的路径研究</w:t>
            </w:r>
          </w:p>
        </w:tc>
        <w:tc>
          <w:tcPr>
            <w:tcW w:w="1235"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杨萌，刘峥</w:t>
            </w:r>
          </w:p>
        </w:tc>
        <w:tc>
          <w:tcPr>
            <w:tcW w:w="992"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校级</w:t>
            </w:r>
          </w:p>
        </w:tc>
        <w:tc>
          <w:tcPr>
            <w:tcW w:w="1134"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创新项目</w:t>
            </w:r>
          </w:p>
        </w:tc>
        <w:tc>
          <w:tcPr>
            <w:tcW w:w="993"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28" w:hRule="atLeast"/>
          <w:jc w:val="center"/>
        </w:trPr>
        <w:tc>
          <w:tcPr>
            <w:tcW w:w="718"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w:t>
            </w:r>
          </w:p>
        </w:tc>
        <w:tc>
          <w:tcPr>
            <w:tcW w:w="3535"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大数据背景下公路货物运输平台经营模式研究</w:t>
            </w:r>
          </w:p>
        </w:tc>
        <w:tc>
          <w:tcPr>
            <w:tcW w:w="1235"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韩杨</w:t>
            </w:r>
          </w:p>
        </w:tc>
        <w:tc>
          <w:tcPr>
            <w:tcW w:w="992"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校级</w:t>
            </w:r>
          </w:p>
        </w:tc>
        <w:tc>
          <w:tcPr>
            <w:tcW w:w="1134"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创新项目</w:t>
            </w:r>
          </w:p>
        </w:tc>
        <w:tc>
          <w:tcPr>
            <w:tcW w:w="993"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28" w:hRule="atLeast"/>
          <w:jc w:val="center"/>
        </w:trPr>
        <w:tc>
          <w:tcPr>
            <w:tcW w:w="718"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6</w:t>
            </w:r>
          </w:p>
        </w:tc>
        <w:tc>
          <w:tcPr>
            <w:tcW w:w="3535"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大学生物流众包</w:t>
            </w:r>
          </w:p>
        </w:tc>
        <w:tc>
          <w:tcPr>
            <w:tcW w:w="1235"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孟翠翠</w:t>
            </w:r>
          </w:p>
        </w:tc>
        <w:tc>
          <w:tcPr>
            <w:tcW w:w="992"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校级</w:t>
            </w:r>
          </w:p>
        </w:tc>
        <w:tc>
          <w:tcPr>
            <w:tcW w:w="1134"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创新项目</w:t>
            </w:r>
          </w:p>
        </w:tc>
        <w:tc>
          <w:tcPr>
            <w:tcW w:w="993"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28" w:hRule="atLeast"/>
          <w:jc w:val="center"/>
        </w:trPr>
        <w:tc>
          <w:tcPr>
            <w:tcW w:w="718"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7</w:t>
            </w:r>
          </w:p>
        </w:tc>
        <w:tc>
          <w:tcPr>
            <w:tcW w:w="3535"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海派的传承---龙凤旗袍</w:t>
            </w:r>
          </w:p>
        </w:tc>
        <w:tc>
          <w:tcPr>
            <w:tcW w:w="1235"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季晓东</w:t>
            </w:r>
          </w:p>
        </w:tc>
        <w:tc>
          <w:tcPr>
            <w:tcW w:w="992"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校级</w:t>
            </w:r>
          </w:p>
        </w:tc>
        <w:tc>
          <w:tcPr>
            <w:tcW w:w="1134"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创新项目</w:t>
            </w:r>
          </w:p>
        </w:tc>
        <w:tc>
          <w:tcPr>
            <w:tcW w:w="993"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28" w:hRule="atLeast"/>
          <w:jc w:val="center"/>
        </w:trPr>
        <w:tc>
          <w:tcPr>
            <w:tcW w:w="718" w:type="dxa"/>
            <w:shd w:val="clear" w:color="auto" w:fill="FFFFFF" w:themeFill="background1"/>
            <w:vAlign w:val="center"/>
          </w:tcPr>
          <w:p>
            <w:pPr>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8</w:t>
            </w:r>
          </w:p>
        </w:tc>
        <w:tc>
          <w:tcPr>
            <w:tcW w:w="3535"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掌联农——农业市场信息提供商</w:t>
            </w:r>
          </w:p>
        </w:tc>
        <w:tc>
          <w:tcPr>
            <w:tcW w:w="1235"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施丽华</w:t>
            </w:r>
          </w:p>
        </w:tc>
        <w:tc>
          <w:tcPr>
            <w:tcW w:w="992"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校级</w:t>
            </w:r>
          </w:p>
        </w:tc>
        <w:tc>
          <w:tcPr>
            <w:tcW w:w="1134"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创业项目</w:t>
            </w:r>
          </w:p>
        </w:tc>
        <w:tc>
          <w:tcPr>
            <w:tcW w:w="993" w:type="dxa"/>
            <w:shd w:val="clear" w:color="auto" w:fill="FFFFFF" w:themeFill="background1"/>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2022</w:t>
            </w:r>
          </w:p>
        </w:tc>
      </w:tr>
    </w:tbl>
    <w:p>
      <w:pPr>
        <w:shd w:val="clear" w:color="auto" w:fill="FFFFFF"/>
        <w:adjustRightInd w:val="0"/>
        <w:snapToGrid w:val="0"/>
        <w:spacing w:line="360" w:lineRule="auto"/>
        <w:contextualSpacing/>
        <w:jc w:val="center"/>
        <w:rPr>
          <w:rFonts w:ascii="Times New Roman Regular" w:hAnsi="Times New Roman Regular" w:eastAsia="黑体" w:cs="Times New Roman Regular"/>
          <w:b/>
          <w:bCs/>
        </w:rPr>
      </w:pPr>
    </w:p>
    <w:p>
      <w:pPr>
        <w:pStyle w:val="4"/>
        <w:spacing w:line="360" w:lineRule="auto"/>
        <w:rPr>
          <w:rFonts w:ascii="Times New Roman Regular" w:hAnsi="Times New Roman Regular" w:eastAsia="宋体" w:cs="Times New Roman Regular"/>
          <w:sz w:val="24"/>
          <w:szCs w:val="24"/>
        </w:rPr>
      </w:pPr>
      <w:bookmarkStart w:id="33" w:name="_Toc1770388266"/>
      <w:r>
        <w:rPr>
          <w:rFonts w:ascii="Times New Roman Regular" w:hAnsi="Times New Roman Regular" w:eastAsia="宋体" w:cs="Times New Roman Regular"/>
          <w:sz w:val="24"/>
          <w:szCs w:val="24"/>
        </w:rPr>
        <w:t>3.9学生毕业综合训练情况</w:t>
      </w:r>
      <w:bookmarkEnd w:id="33"/>
    </w:p>
    <w:p>
      <w:pPr>
        <w:spacing w:line="360" w:lineRule="auto"/>
        <w:jc w:val="center"/>
        <w:rPr>
          <w:rFonts w:ascii="Times New Roman Regular" w:hAnsi="Times New Roman Regular" w:cs="Times New Roman Regular"/>
        </w:rPr>
      </w:pPr>
      <w:r>
        <w:rPr>
          <w:rFonts w:ascii="Times New Roman Regular" w:hAnsi="Times New Roman Regular" w:cs="Times New Roman Regular"/>
        </w:rPr>
        <w:t>表3-13 学生毕业综合训练情况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969"/>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gridSpan w:val="2"/>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项目</w:t>
            </w:r>
          </w:p>
        </w:tc>
        <w:tc>
          <w:tcPr>
            <w:tcW w:w="234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毕业综合训练课题（个）</w:t>
            </w:r>
          </w:p>
        </w:tc>
        <w:tc>
          <w:tcPr>
            <w:tcW w:w="396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总数</w:t>
            </w:r>
          </w:p>
        </w:tc>
        <w:tc>
          <w:tcPr>
            <w:tcW w:w="234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Regular" w:hAnsi="Times New Roman Regular" w:cs="Times New Roman Regular"/>
                <w:sz w:val="21"/>
                <w:szCs w:val="21"/>
              </w:rPr>
            </w:pPr>
          </w:p>
        </w:tc>
        <w:tc>
          <w:tcPr>
            <w:tcW w:w="396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其中：在实验、实习、社会调查等社会实践中完成数</w:t>
            </w:r>
          </w:p>
        </w:tc>
        <w:tc>
          <w:tcPr>
            <w:tcW w:w="234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55</w:t>
            </w:r>
            <w:bookmarkStart w:id="34" w:name="OLE_LINK19"/>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Regular" w:hAnsi="Times New Roman Regular" w:cs="Times New Roman Regular"/>
                <w:sz w:val="21"/>
                <w:szCs w:val="21"/>
              </w:rPr>
            </w:pPr>
          </w:p>
        </w:tc>
        <w:tc>
          <w:tcPr>
            <w:tcW w:w="396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其中：在实验、实习、社会调查等社会实践中完成比例（%）</w:t>
            </w:r>
          </w:p>
        </w:tc>
        <w:tc>
          <w:tcPr>
            <w:tcW w:w="234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pPr>
              <w:spacing w:line="360" w:lineRule="auto"/>
              <w:jc w:val="center"/>
              <w:rPr>
                <w:rFonts w:ascii="Times New Roman Regular" w:hAnsi="Times New Roman Regular" w:cs="Times New Roman Regular"/>
                <w:sz w:val="21"/>
                <w:szCs w:val="21"/>
              </w:rPr>
            </w:pPr>
            <w:bookmarkStart w:id="35" w:name="OLE_LINK20"/>
            <w:r>
              <w:rPr>
                <w:rFonts w:ascii="Times New Roman Regular" w:hAnsi="Times New Roman Regular" w:cs="Times New Roman Regular"/>
                <w:sz w:val="21"/>
                <w:szCs w:val="21"/>
              </w:rPr>
              <w:t>指导教师数</w:t>
            </w:r>
            <w:bookmarkEnd w:id="35"/>
          </w:p>
        </w:tc>
        <w:tc>
          <w:tcPr>
            <w:tcW w:w="396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本专业教师</w:t>
            </w:r>
          </w:p>
        </w:tc>
        <w:tc>
          <w:tcPr>
            <w:tcW w:w="234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Regular" w:hAnsi="Times New Roman Regular" w:cs="Times New Roman Regular"/>
                <w:sz w:val="21"/>
                <w:szCs w:val="21"/>
              </w:rPr>
            </w:pPr>
          </w:p>
        </w:tc>
        <w:tc>
          <w:tcPr>
            <w:tcW w:w="396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外专业教师</w:t>
            </w:r>
          </w:p>
        </w:tc>
        <w:tc>
          <w:tcPr>
            <w:tcW w:w="234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Regular" w:hAnsi="Times New Roman Regular" w:cs="Times New Roman Regular"/>
                <w:sz w:val="21"/>
                <w:szCs w:val="21"/>
              </w:rPr>
            </w:pPr>
          </w:p>
        </w:tc>
        <w:tc>
          <w:tcPr>
            <w:tcW w:w="3969" w:type="dxa"/>
            <w:vAlign w:val="center"/>
          </w:tcPr>
          <w:p>
            <w:pPr>
              <w:spacing w:line="360" w:lineRule="auto"/>
              <w:jc w:val="center"/>
              <w:rPr>
                <w:rFonts w:ascii="Times New Roman Regular" w:hAnsi="Times New Roman Regular" w:cs="Times New Roman Regular"/>
                <w:sz w:val="21"/>
                <w:szCs w:val="21"/>
              </w:rPr>
            </w:pPr>
            <w:bookmarkStart w:id="36" w:name="OLE_LINK21"/>
            <w:r>
              <w:rPr>
                <w:rFonts w:ascii="Times New Roman Regular" w:hAnsi="Times New Roman Regular" w:cs="Times New Roman Regular"/>
                <w:sz w:val="21"/>
                <w:szCs w:val="21"/>
              </w:rPr>
              <w:t>校外指导教师</w:t>
            </w:r>
            <w:bookmarkEnd w:id="36"/>
          </w:p>
        </w:tc>
        <w:tc>
          <w:tcPr>
            <w:tcW w:w="234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gridSpan w:val="2"/>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每名教师平均指导毕业生数</w:t>
            </w:r>
          </w:p>
        </w:tc>
        <w:tc>
          <w:tcPr>
            <w:tcW w:w="234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5.5</w:t>
            </w:r>
          </w:p>
        </w:tc>
      </w:tr>
    </w:tbl>
    <w:p>
      <w:pPr>
        <w:spacing w:line="360" w:lineRule="auto"/>
        <w:rPr>
          <w:rFonts w:ascii="Times New Roman Regular" w:hAnsi="Times New Roman Regular" w:cs="Times New Roman Regular"/>
        </w:rPr>
      </w:pPr>
    </w:p>
    <w:p>
      <w:pPr>
        <w:pStyle w:val="4"/>
        <w:spacing w:line="360" w:lineRule="auto"/>
        <w:rPr>
          <w:rFonts w:ascii="Times New Roman Regular" w:hAnsi="Times New Roman Regular" w:eastAsia="宋体" w:cs="Times New Roman Regular"/>
          <w:sz w:val="24"/>
          <w:szCs w:val="24"/>
        </w:rPr>
      </w:pPr>
      <w:bookmarkStart w:id="37" w:name="_Toc1529657477"/>
      <w:r>
        <w:rPr>
          <w:rFonts w:ascii="Times New Roman Regular" w:hAnsi="Times New Roman Regular" w:eastAsia="宋体" w:cs="Times New Roman Regular"/>
          <w:sz w:val="24"/>
          <w:szCs w:val="24"/>
        </w:rPr>
        <w:t>3.10教学改革</w:t>
      </w:r>
      <w:bookmarkEnd w:id="37"/>
    </w:p>
    <w:p>
      <w:pPr>
        <w:shd w:val="clear" w:color="auto" w:fill="FFFFFF"/>
        <w:adjustRightInd w:val="0"/>
        <w:snapToGrid w:val="0"/>
        <w:spacing w:line="360" w:lineRule="auto"/>
        <w:ind w:right="-65" w:rightChars="-27" w:firstLine="480" w:firstLineChars="200"/>
        <w:rPr>
          <w:rFonts w:ascii="Times New Roman Regular" w:hAnsi="Times New Roman Regular" w:cs="Times New Roman Regular"/>
          <w:color w:val="333333"/>
        </w:rPr>
      </w:pPr>
      <w:r>
        <w:rPr>
          <w:rFonts w:ascii="Times New Roman Regular" w:hAnsi="Times New Roman Regular" w:cs="Times New Roman Regular"/>
          <w:color w:val="333333"/>
        </w:rPr>
        <w:t>物流管理专业的人才培养目标响应国家现代供应链发展战略需要，聚焦现代服务业和现代制造业的愿景，注重学生协同创新能力和系统性处理问题的素质培养，使学生在掌握物流管理专业基础理论与技能的同时具获取分析问题和解决问题的能力，具备成为一般企业物流管理基层骨干人才的业务素质，并在专业型管理人才的认知模式帮助下获得快速晋升为中层甚至高层物流管理人才的发展潜力。</w:t>
      </w:r>
    </w:p>
    <w:p>
      <w:pPr>
        <w:shd w:val="clear" w:color="auto" w:fill="FFFFFF"/>
        <w:adjustRightInd w:val="0"/>
        <w:snapToGrid w:val="0"/>
        <w:spacing w:line="360" w:lineRule="auto"/>
        <w:ind w:firstLine="480" w:firstLineChars="200"/>
        <w:rPr>
          <w:rFonts w:ascii="Times New Roman Regular" w:hAnsi="Times New Roman Regular" w:cs="Times New Roman Regular"/>
          <w:color w:val="333333"/>
        </w:rPr>
      </w:pPr>
      <w:r>
        <w:rPr>
          <w:rFonts w:ascii="Times New Roman Regular" w:hAnsi="Times New Roman Regular" w:cs="Times New Roman Regular"/>
          <w:color w:val="333333"/>
        </w:rPr>
        <w:t>除了基本管理学知识与物流管理专业知识的获取以外，本专业还注重管理认知模式与人才素质培养，全局综合思维能力、创新能力与实践能力的培养，及专业前沿视角的把控能力。注重案例教学、实践教学与产学合作基地培养人才的创新模式。并在多学科交叉的基础上推动以下两个专业特色：</w:t>
      </w:r>
    </w:p>
    <w:p>
      <w:pPr>
        <w:shd w:val="clear" w:color="auto" w:fill="FFFFFF"/>
        <w:adjustRightInd w:val="0"/>
        <w:snapToGrid w:val="0"/>
        <w:spacing w:line="360" w:lineRule="auto"/>
        <w:ind w:firstLine="480" w:firstLineChars="200"/>
        <w:rPr>
          <w:rFonts w:ascii="Times New Roman Regular" w:hAnsi="Times New Roman Regular" w:cs="Times New Roman Regular"/>
          <w:color w:val="333333"/>
        </w:rPr>
      </w:pPr>
      <w:r>
        <w:rPr>
          <w:rFonts w:hint="eastAsia" w:ascii="Times New Roman Regular" w:hAnsi="Times New Roman Regular" w:cs="Times New Roman Regular"/>
          <w:color w:val="333333"/>
        </w:rPr>
        <w:t>（1）</w:t>
      </w:r>
      <w:r>
        <w:rPr>
          <w:rFonts w:ascii="Times New Roman Regular" w:hAnsi="Times New Roman Regular" w:cs="Times New Roman Regular"/>
          <w:color w:val="333333"/>
        </w:rPr>
        <w:t>国际物流：与国际经济与贸易专业形成互补优势，培养具备国际视野的高素质专门物流人才，培养对象兼具物流管理人才素质与国际贸易业务基本知识，掌握国际货物运输等多学科、多应用背景交叉问题的解决能力；</w:t>
      </w:r>
    </w:p>
    <w:p>
      <w:pPr>
        <w:shd w:val="clear" w:color="auto" w:fill="FFFFFF"/>
        <w:adjustRightInd w:val="0"/>
        <w:snapToGrid w:val="0"/>
        <w:spacing w:line="360" w:lineRule="auto"/>
        <w:ind w:firstLine="480" w:firstLineChars="200"/>
        <w:rPr>
          <w:rFonts w:ascii="Times New Roman Regular" w:hAnsi="Times New Roman Regular" w:cs="Times New Roman Regular"/>
          <w:color w:val="333333"/>
        </w:rPr>
      </w:pPr>
      <w:r>
        <w:rPr>
          <w:rFonts w:hint="eastAsia" w:ascii="Times New Roman Regular" w:hAnsi="Times New Roman Regular" w:cs="Times New Roman Regular"/>
          <w:color w:val="333333"/>
        </w:rPr>
        <w:t>（2）</w:t>
      </w:r>
      <w:r>
        <w:rPr>
          <w:rFonts w:ascii="Times New Roman Regular" w:hAnsi="Times New Roman Regular" w:cs="Times New Roman Regular"/>
          <w:color w:val="333333"/>
        </w:rPr>
        <w:t>冷链物流：依托我校供应链研究院帮助，培养具备冷链物流管理专门素质的人才，培养对象充分熟悉冷链物流的特点，可针对冷链过程的专门问题制定管理策略。</w:t>
      </w:r>
    </w:p>
    <w:p>
      <w:pPr>
        <w:adjustRightInd w:val="0"/>
        <w:snapToGrid w:val="0"/>
        <w:spacing w:line="360" w:lineRule="auto"/>
        <w:ind w:firstLine="480" w:firstLineChars="200"/>
        <w:contextualSpacing/>
        <w:rPr>
          <w:rFonts w:ascii="Times New Roman Regular" w:hAnsi="Times New Roman Regular" w:cs="Times New Roman Regular"/>
          <w:color w:val="333333"/>
        </w:rPr>
      </w:pPr>
      <w:r>
        <w:rPr>
          <w:rFonts w:ascii="Times New Roman Regular" w:hAnsi="Times New Roman Regular" w:cs="Times New Roman Regular"/>
          <w:color w:val="333333"/>
        </w:rPr>
        <w:t>本专业以我校管理学大类学科为支撑，在凝练特色培养目标的基础上，形成学科特色优势，构筑特色鲜明、优势明显、交叉融合、协调发展的学科体系。学科团队近5年内在SCI/SSCI等高水平学术期刊上发表过论文30余篇，承担国家级课题、省部级课题11项。团队具有较为丰富的研究生培养经验，在读硕士学术成果突出，发表核心论文多篇，全国性学术竞赛屡获佳绩。学科团队具备较强的专业创新能力与学术研究能力，在学校人才政策的鼓励下，具有支撑培养目标实现的专业水准。</w:t>
      </w:r>
    </w:p>
    <w:p>
      <w:pPr>
        <w:adjustRightInd w:val="0"/>
        <w:snapToGrid w:val="0"/>
        <w:spacing w:line="360" w:lineRule="auto"/>
        <w:ind w:firstLine="480" w:firstLineChars="200"/>
        <w:contextualSpacing/>
        <w:rPr>
          <w:rFonts w:ascii="Times New Roman Regular" w:hAnsi="Times New Roman Regular" w:cs="Times New Roman Regular"/>
          <w:color w:val="333333"/>
        </w:rPr>
      </w:pPr>
      <w:r>
        <w:rPr>
          <w:rFonts w:ascii="Times New Roman Regular" w:hAnsi="Times New Roman Regular" w:cs="Times New Roman Regular"/>
          <w:color w:val="333333"/>
        </w:rPr>
        <w:t>本专业依托我校供应链研究院作为科研创新、学术交流与产学合作平台，具备现代化的物流系统分析与设计实验室，拥有先进的教学科研设备，具备充足的国内外学术资料和数据库，能够满足特色培养目标的需要。通过与上海物流企业家协会、上海现代服务业联合会物流与供应链专委会、上海冷链联盟等行业机构，以及郑明物流、裕茂机电、锦江物流、协达冷气等企业开展紧密的产学研合作，增强了专业教师运用理论解决企业经营中物流管理问题的能力，也为学生扩展专业实习平台扩宽了渠道。</w:t>
      </w:r>
    </w:p>
    <w:p>
      <w:pPr>
        <w:adjustRightInd w:val="0"/>
        <w:snapToGrid w:val="0"/>
        <w:spacing w:line="360" w:lineRule="auto"/>
        <w:ind w:firstLine="480" w:firstLineChars="200"/>
        <w:contextualSpacing/>
        <w:rPr>
          <w:rFonts w:ascii="Times New Roman Regular" w:hAnsi="Times New Roman Regular" w:cs="Times New Roman Regular"/>
          <w:color w:val="333333"/>
        </w:rPr>
      </w:pPr>
      <w:r>
        <w:rPr>
          <w:rFonts w:ascii="Times New Roman Regular" w:hAnsi="Times New Roman Regular" w:cs="Times New Roman Regular"/>
          <w:color w:val="333333"/>
        </w:rPr>
        <w:t>此外，依托学科平台优势，物流管理学科团队积极参与社会服务，承担了上海市物流自考课程的大纲编写、命题设计、考核等全过程管理，极大提升了学科服务社会的影响力，同时历练了教师的专业素养。</w:t>
      </w:r>
    </w:p>
    <w:p>
      <w:pPr>
        <w:spacing w:line="360" w:lineRule="auto"/>
        <w:rPr>
          <w:rFonts w:ascii="Times New Roman Regular" w:hAnsi="Times New Roman Regular" w:cs="Times New Roman Regular"/>
        </w:rPr>
      </w:pPr>
    </w:p>
    <w:p>
      <w:pPr>
        <w:spacing w:line="360" w:lineRule="auto"/>
        <w:rPr>
          <w:rFonts w:ascii="Times New Roman Regular" w:hAnsi="Times New Roman Regular" w:cs="Times New Roman Regular"/>
        </w:rPr>
      </w:pPr>
    </w:p>
    <w:p>
      <w:pPr>
        <w:pStyle w:val="3"/>
        <w:pageBreakBefore/>
        <w:spacing w:after="120" w:line="360" w:lineRule="auto"/>
        <w:jc w:val="left"/>
        <w:rPr>
          <w:rFonts w:ascii="Times New Roman Regular" w:hAnsi="Times New Roman Regular" w:cs="Times New Roman Regular"/>
          <w:sz w:val="28"/>
          <w:szCs w:val="28"/>
        </w:rPr>
      </w:pPr>
      <w:bookmarkStart w:id="38" w:name="_Toc1426477702"/>
      <w:r>
        <w:rPr>
          <w:rFonts w:ascii="Times New Roman Regular" w:hAnsi="Times New Roman Regular" w:cs="Times New Roman Regular"/>
          <w:sz w:val="28"/>
          <w:szCs w:val="28"/>
        </w:rPr>
        <w:t>4.教师队伍</w:t>
      </w:r>
      <w:bookmarkEnd w:id="38"/>
      <w:r>
        <w:rPr>
          <w:rFonts w:ascii="Times New Roman Regular" w:hAnsi="Times New Roman Regular" w:cs="Times New Roman Regular"/>
          <w:sz w:val="28"/>
          <w:szCs w:val="28"/>
        </w:rPr>
        <w:t xml:space="preserve"> </w:t>
      </w:r>
    </w:p>
    <w:p>
      <w:pPr>
        <w:pStyle w:val="4"/>
        <w:spacing w:line="360" w:lineRule="auto"/>
        <w:rPr>
          <w:rFonts w:ascii="Times New Roman Regular" w:hAnsi="Times New Roman Regular" w:eastAsia="宋体" w:cs="Times New Roman Regular"/>
          <w:sz w:val="24"/>
          <w:szCs w:val="24"/>
        </w:rPr>
      </w:pPr>
      <w:bookmarkStart w:id="39" w:name="_Toc303302406"/>
      <w:r>
        <w:rPr>
          <w:rFonts w:ascii="Times New Roman Regular" w:hAnsi="Times New Roman Regular" w:eastAsia="宋体" w:cs="Times New Roman Regular"/>
          <w:sz w:val="24"/>
          <w:szCs w:val="24"/>
        </w:rPr>
        <w:t>4.1专业教师数量与结构</w:t>
      </w:r>
      <w:bookmarkEnd w:id="39"/>
    </w:p>
    <w:p>
      <w:pPr>
        <w:pStyle w:val="5"/>
        <w:spacing w:line="360" w:lineRule="auto"/>
        <w:rPr>
          <w:rFonts w:ascii="Times New Roman Regular" w:hAnsi="Times New Roman Regular" w:eastAsia="宋体" w:cs="Times New Roman Regular"/>
          <w:b w:val="0"/>
          <w:bCs w:val="0"/>
          <w:kern w:val="2"/>
          <w:sz w:val="24"/>
          <w:szCs w:val="24"/>
        </w:rPr>
      </w:pPr>
      <w:r>
        <w:rPr>
          <w:rFonts w:ascii="Times New Roman Regular" w:hAnsi="Times New Roman Regular" w:eastAsia="宋体" w:cs="Times New Roman Regular"/>
          <w:b w:val="0"/>
          <w:bCs w:val="0"/>
          <w:kern w:val="2"/>
          <w:sz w:val="24"/>
          <w:szCs w:val="24"/>
        </w:rPr>
        <w:t>4.1.1专业教师数量</w:t>
      </w:r>
    </w:p>
    <w:p>
      <w:pPr>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物流管理专业现有专任教师10人，其中副教授1人，讲师9人。目前本专业教师中具有博士学位的教师6人，具有硕士学位的教师4人，具有硕士、博士学位的教师比例为100%。35岁以下青年教师占20%，36至45岁教师5名，占比50%。合理的年龄结构是教师队伍合理流动的前提，这既要有年轻教师的新鲜血液注入，也要有中年教师在其中起着承上启下的作用，还需要年长的教师来丰富教师队伍的教学实践经验。总体上看，物流管理专业的专任教师目前年龄结构均衡合理。专业教师结构如下表所示。</w:t>
      </w:r>
    </w:p>
    <w:p>
      <w:pPr>
        <w:spacing w:line="360" w:lineRule="auto"/>
        <w:jc w:val="center"/>
        <w:rPr>
          <w:rFonts w:ascii="Times New Roman Regular" w:hAnsi="Times New Roman Regular" w:cs="Times New Roman Regular"/>
        </w:rPr>
      </w:pPr>
      <w:r>
        <w:rPr>
          <w:rFonts w:ascii="Times New Roman Regular" w:hAnsi="Times New Roman Regular" w:cs="Times New Roman Regular"/>
        </w:rPr>
        <w:t xml:space="preserve">表4-1 </w:t>
      </w:r>
      <w:r>
        <w:rPr>
          <w:rFonts w:ascii="Times New Roman Regular" w:hAnsi="Times New Roman Regular" w:cs="Times New Roman Regular"/>
          <w:kern w:val="2"/>
        </w:rPr>
        <w:t>专业教师数量情况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1843"/>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项目</w:t>
            </w:r>
          </w:p>
        </w:tc>
        <w:tc>
          <w:tcPr>
            <w:tcW w:w="1843"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数量</w:t>
            </w:r>
          </w:p>
        </w:tc>
        <w:tc>
          <w:tcPr>
            <w:tcW w:w="163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专业教师总数</w:t>
            </w:r>
          </w:p>
        </w:tc>
        <w:tc>
          <w:tcPr>
            <w:tcW w:w="1843"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10</w:t>
            </w:r>
            <w:bookmarkStart w:id="40" w:name="OLE_LINK1"/>
            <w:bookmarkEnd w:id="40"/>
          </w:p>
        </w:tc>
        <w:tc>
          <w:tcPr>
            <w:tcW w:w="163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其中：</w:t>
            </w:r>
            <w:bookmarkStart w:id="41" w:name="OLE_LINK26"/>
            <w:r>
              <w:rPr>
                <w:rFonts w:ascii="Times New Roman Regular" w:hAnsi="Times New Roman Regular" w:cs="Times New Roman Regular"/>
                <w:sz w:val="21"/>
                <w:szCs w:val="21"/>
              </w:rPr>
              <w:t>近五年新增教师</w:t>
            </w:r>
            <w:bookmarkEnd w:id="41"/>
          </w:p>
        </w:tc>
        <w:tc>
          <w:tcPr>
            <w:tcW w:w="1843" w:type="dxa"/>
            <w:vAlign w:val="center"/>
          </w:tcPr>
          <w:p>
            <w:pPr>
              <w:spacing w:line="360" w:lineRule="auto"/>
              <w:jc w:val="center"/>
              <w:rPr>
                <w:rFonts w:ascii="Times New Roman Regular" w:hAnsi="Times New Roman Regular" w:cs="Times New Roman Regular"/>
                <w:sz w:val="21"/>
                <w:szCs w:val="21"/>
              </w:rPr>
            </w:pPr>
            <w:bookmarkStart w:id="42" w:name="OLE_LINK23"/>
            <w:bookmarkEnd w:id="42"/>
            <w:r>
              <w:rPr>
                <w:rFonts w:ascii="Times New Roman Regular" w:hAnsi="Times New Roman Regular" w:cs="Times New Roman Regular"/>
                <w:sz w:val="21"/>
                <w:szCs w:val="21"/>
              </w:rPr>
              <w:t>0</w:t>
            </w:r>
          </w:p>
        </w:tc>
        <w:tc>
          <w:tcPr>
            <w:tcW w:w="163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双师双能型教师</w:t>
            </w:r>
          </w:p>
        </w:tc>
        <w:tc>
          <w:tcPr>
            <w:tcW w:w="1843"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8</w:t>
            </w:r>
          </w:p>
        </w:tc>
        <w:tc>
          <w:tcPr>
            <w:tcW w:w="163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具有行业企业背景</w:t>
            </w:r>
          </w:p>
        </w:tc>
        <w:tc>
          <w:tcPr>
            <w:tcW w:w="1843"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163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高级职称教师数量</w:t>
            </w:r>
          </w:p>
        </w:tc>
        <w:tc>
          <w:tcPr>
            <w:tcW w:w="1843"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7</w:t>
            </w:r>
          </w:p>
        </w:tc>
        <w:tc>
          <w:tcPr>
            <w:tcW w:w="163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学年内承担专业课教学的本专业教师数</w:t>
            </w:r>
          </w:p>
        </w:tc>
        <w:tc>
          <w:tcPr>
            <w:tcW w:w="1843"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13</w:t>
            </w:r>
            <w:bookmarkStart w:id="43" w:name="OLE_LINK24"/>
            <w:bookmarkEnd w:id="43"/>
          </w:p>
        </w:tc>
        <w:tc>
          <w:tcPr>
            <w:tcW w:w="163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2"/>
              </w:rPr>
              <w:t>教授数量</w:t>
            </w:r>
          </w:p>
        </w:tc>
        <w:tc>
          <w:tcPr>
            <w:tcW w:w="1843"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bookmarkStart w:id="44" w:name="OLE_LINK25"/>
            <w:bookmarkEnd w:id="44"/>
          </w:p>
        </w:tc>
        <w:tc>
          <w:tcPr>
            <w:tcW w:w="163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学年内承担专业课课程的教授数量</w:t>
            </w:r>
          </w:p>
        </w:tc>
        <w:tc>
          <w:tcPr>
            <w:tcW w:w="1843"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163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学年内</w:t>
            </w:r>
            <w:r>
              <w:rPr>
                <w:rFonts w:ascii="Times New Roman Regular" w:hAnsi="Times New Roman Regular" w:cs="Times New Roman Regular"/>
                <w:sz w:val="21"/>
                <w:szCs w:val="22"/>
              </w:rPr>
              <w:t>低年级授课教授数量</w:t>
            </w:r>
          </w:p>
        </w:tc>
        <w:tc>
          <w:tcPr>
            <w:tcW w:w="1843"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bookmarkStart w:id="45" w:name="OLE_LINK22"/>
            <w:bookmarkEnd w:id="45"/>
          </w:p>
        </w:tc>
        <w:tc>
          <w:tcPr>
            <w:tcW w:w="163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bl>
    <w:p>
      <w:pPr>
        <w:spacing w:line="360" w:lineRule="auto"/>
        <w:rPr>
          <w:rFonts w:ascii="Times New Roman Regular" w:hAnsi="Times New Roman Regular" w:cs="Times New Roman Regular"/>
          <w:sz w:val="21"/>
          <w:szCs w:val="21"/>
        </w:rPr>
      </w:pPr>
      <w:r>
        <w:rPr>
          <w:rFonts w:ascii="Times New Roman Regular" w:hAnsi="Times New Roman Regular" w:cs="Times New Roman Regular"/>
        </w:rPr>
        <w:t>*</w:t>
      </w:r>
      <w:r>
        <w:rPr>
          <w:rFonts w:ascii="Times New Roman Regular" w:hAnsi="Times New Roman Regular" w:cs="Times New Roman Regular"/>
          <w:sz w:val="21"/>
          <w:szCs w:val="21"/>
        </w:rPr>
        <w:t>学年内承担专业课课程的教授比例、学年内</w:t>
      </w:r>
      <w:r>
        <w:rPr>
          <w:rFonts w:ascii="Times New Roman Regular" w:hAnsi="Times New Roman Regular" w:cs="Times New Roman Regular"/>
          <w:sz w:val="21"/>
          <w:szCs w:val="22"/>
        </w:rPr>
        <w:t>低年级授课教授</w:t>
      </w:r>
      <w:r>
        <w:rPr>
          <w:rFonts w:ascii="Times New Roman Regular" w:hAnsi="Times New Roman Regular" w:cs="Times New Roman Regular"/>
          <w:sz w:val="21"/>
          <w:szCs w:val="21"/>
        </w:rPr>
        <w:t>比例 为占专业教授数量的比例。本表仅统计本专业教师。</w:t>
      </w:r>
    </w:p>
    <w:p>
      <w:pPr>
        <w:spacing w:line="360" w:lineRule="auto"/>
        <w:rPr>
          <w:rFonts w:ascii="Times New Roman Regular" w:hAnsi="Times New Roman Regular" w:cs="Times New Roman Regular"/>
        </w:rPr>
      </w:pPr>
    </w:p>
    <w:p>
      <w:pPr>
        <w:spacing w:line="360" w:lineRule="auto"/>
        <w:rPr>
          <w:rFonts w:hint="eastAsia" w:ascii="Times New Roman Regular" w:hAnsi="Times New Roman Regular" w:cs="Times New Roman Regular"/>
        </w:rPr>
      </w:pPr>
    </w:p>
    <w:p>
      <w:pPr>
        <w:pStyle w:val="5"/>
        <w:spacing w:line="360" w:lineRule="auto"/>
        <w:rPr>
          <w:rFonts w:ascii="Times New Roman Regular" w:hAnsi="Times New Roman Regular" w:eastAsia="宋体" w:cs="Times New Roman Regular"/>
          <w:b w:val="0"/>
          <w:bCs w:val="0"/>
          <w:kern w:val="2"/>
          <w:sz w:val="24"/>
          <w:szCs w:val="24"/>
        </w:rPr>
      </w:pPr>
      <w:r>
        <w:rPr>
          <w:rFonts w:ascii="Times New Roman Regular" w:hAnsi="Times New Roman Regular" w:eastAsia="宋体" w:cs="Times New Roman Regular"/>
          <w:b w:val="0"/>
          <w:bCs w:val="0"/>
          <w:kern w:val="2"/>
          <w:sz w:val="24"/>
          <w:szCs w:val="24"/>
        </w:rPr>
        <w:t>4.1.2专业教师结构</w:t>
      </w:r>
    </w:p>
    <w:p>
      <w:pPr>
        <w:spacing w:line="360" w:lineRule="auto"/>
        <w:jc w:val="center"/>
        <w:rPr>
          <w:rFonts w:ascii="Times New Roman Regular" w:hAnsi="Times New Roman Regular" w:cs="Times New Roman Regular"/>
        </w:rPr>
      </w:pPr>
      <w:r>
        <w:rPr>
          <w:rFonts w:ascii="Times New Roman Regular" w:hAnsi="Times New Roman Regular" w:cs="Times New Roman Regular"/>
        </w:rPr>
        <w:t xml:space="preserve">表4-2 </w:t>
      </w:r>
      <w:r>
        <w:rPr>
          <w:rFonts w:ascii="Times New Roman Regular" w:hAnsi="Times New Roman Regular" w:cs="Times New Roman Regular"/>
          <w:kern w:val="2"/>
        </w:rPr>
        <w:t>专业教师结构</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1601"/>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48" w:type="dxa"/>
            <w:gridSpan w:val="3"/>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项目</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数量</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48" w:type="dxa"/>
            <w:gridSpan w:val="3"/>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专业教师总数</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10</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职称</w:t>
            </w:r>
          </w:p>
        </w:tc>
        <w:tc>
          <w:tcPr>
            <w:tcW w:w="2877" w:type="dxa"/>
            <w:gridSpan w:val="2"/>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教授</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360" w:lineRule="auto"/>
              <w:jc w:val="center"/>
              <w:rPr>
                <w:rFonts w:ascii="Times New Roman Regular" w:hAnsi="Times New Roman Regular" w:cs="Times New Roman Regular"/>
                <w:sz w:val="21"/>
                <w:szCs w:val="21"/>
              </w:rPr>
            </w:pPr>
          </w:p>
        </w:tc>
        <w:tc>
          <w:tcPr>
            <w:tcW w:w="2877" w:type="dxa"/>
            <w:gridSpan w:val="2"/>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副教授</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360" w:lineRule="auto"/>
              <w:jc w:val="center"/>
              <w:rPr>
                <w:rFonts w:ascii="Times New Roman Regular" w:hAnsi="Times New Roman Regular" w:cs="Times New Roman Regular"/>
                <w:sz w:val="21"/>
                <w:szCs w:val="21"/>
              </w:rPr>
            </w:pPr>
          </w:p>
        </w:tc>
        <w:tc>
          <w:tcPr>
            <w:tcW w:w="2877" w:type="dxa"/>
            <w:gridSpan w:val="2"/>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讲师</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9</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360" w:lineRule="auto"/>
              <w:jc w:val="center"/>
              <w:rPr>
                <w:rFonts w:ascii="Times New Roman Regular" w:hAnsi="Times New Roman Regular" w:cs="Times New Roman Regular"/>
                <w:sz w:val="21"/>
                <w:szCs w:val="21"/>
              </w:rPr>
            </w:pPr>
          </w:p>
        </w:tc>
        <w:tc>
          <w:tcPr>
            <w:tcW w:w="2877" w:type="dxa"/>
            <w:gridSpan w:val="2"/>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助教</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360" w:lineRule="auto"/>
              <w:jc w:val="center"/>
              <w:rPr>
                <w:rFonts w:ascii="Times New Roman Regular" w:hAnsi="Times New Roman Regular" w:cs="Times New Roman Regular"/>
                <w:sz w:val="21"/>
                <w:szCs w:val="21"/>
              </w:rPr>
            </w:pPr>
          </w:p>
        </w:tc>
        <w:tc>
          <w:tcPr>
            <w:tcW w:w="2877" w:type="dxa"/>
            <w:gridSpan w:val="2"/>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其他正高级</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360" w:lineRule="auto"/>
              <w:jc w:val="center"/>
              <w:rPr>
                <w:rFonts w:ascii="Times New Roman Regular" w:hAnsi="Times New Roman Regular" w:cs="Times New Roman Regular"/>
                <w:sz w:val="21"/>
                <w:szCs w:val="21"/>
              </w:rPr>
            </w:pPr>
          </w:p>
        </w:tc>
        <w:tc>
          <w:tcPr>
            <w:tcW w:w="2877" w:type="dxa"/>
            <w:gridSpan w:val="2"/>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其他副高级</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360" w:lineRule="auto"/>
              <w:jc w:val="center"/>
              <w:rPr>
                <w:rFonts w:ascii="Times New Roman Regular" w:hAnsi="Times New Roman Regular" w:cs="Times New Roman Regular"/>
                <w:sz w:val="21"/>
                <w:szCs w:val="21"/>
              </w:rPr>
            </w:pPr>
          </w:p>
        </w:tc>
        <w:tc>
          <w:tcPr>
            <w:tcW w:w="2877" w:type="dxa"/>
            <w:gridSpan w:val="2"/>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其他中级</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360" w:lineRule="auto"/>
              <w:jc w:val="center"/>
              <w:rPr>
                <w:rFonts w:ascii="Times New Roman Regular" w:hAnsi="Times New Roman Regular" w:cs="Times New Roman Regular"/>
                <w:sz w:val="21"/>
                <w:szCs w:val="21"/>
              </w:rPr>
            </w:pPr>
          </w:p>
        </w:tc>
        <w:tc>
          <w:tcPr>
            <w:tcW w:w="2877" w:type="dxa"/>
            <w:gridSpan w:val="2"/>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其他初级</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360" w:lineRule="auto"/>
              <w:jc w:val="center"/>
              <w:rPr>
                <w:rFonts w:ascii="Times New Roman Regular" w:hAnsi="Times New Roman Regular" w:cs="Times New Roman Regular"/>
                <w:sz w:val="21"/>
                <w:szCs w:val="21"/>
              </w:rPr>
            </w:pPr>
          </w:p>
        </w:tc>
        <w:tc>
          <w:tcPr>
            <w:tcW w:w="2877" w:type="dxa"/>
            <w:gridSpan w:val="2"/>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未评级</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spacing w:line="360" w:lineRule="auto"/>
              <w:jc w:val="center"/>
              <w:rPr>
                <w:rFonts w:ascii="Times New Roman Regular" w:hAnsi="Times New Roman Regular" w:cs="Times New Roman Regular"/>
                <w:sz w:val="21"/>
                <w:szCs w:val="21"/>
              </w:rPr>
            </w:pPr>
            <w:bookmarkStart w:id="46" w:name="OLE_LINK30"/>
            <w:r>
              <w:rPr>
                <w:rFonts w:ascii="Times New Roman Regular" w:hAnsi="Times New Roman Regular" w:cs="Times New Roman Regular"/>
                <w:sz w:val="21"/>
                <w:szCs w:val="21"/>
              </w:rPr>
              <w:t>最高学位</w:t>
            </w:r>
            <w:bookmarkEnd w:id="46"/>
          </w:p>
        </w:tc>
        <w:tc>
          <w:tcPr>
            <w:tcW w:w="2877" w:type="dxa"/>
            <w:gridSpan w:val="2"/>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2"/>
              </w:rPr>
              <w:t>博士</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6</w:t>
            </w:r>
          </w:p>
        </w:tc>
        <w:tc>
          <w:tcPr>
            <w:tcW w:w="2074" w:type="dxa"/>
            <w:vAlign w:val="center"/>
          </w:tcPr>
          <w:p>
            <w:pPr>
              <w:spacing w:line="360" w:lineRule="auto"/>
              <w:jc w:val="center"/>
              <w:rPr>
                <w:rFonts w:ascii="Times New Roman Regular" w:hAnsi="Times New Roman Regular" w:cs="Times New Roman Regular"/>
                <w:sz w:val="21"/>
                <w:szCs w:val="21"/>
              </w:rPr>
            </w:pPr>
            <w:bookmarkStart w:id="47" w:name="OLE_LINK31"/>
            <w:bookmarkEnd w:id="47"/>
            <w:r>
              <w:rPr>
                <w:rFonts w:ascii="Times New Roman Regular" w:hAnsi="Times New Roman Regular" w:cs="Times New Roman Regular"/>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360" w:lineRule="auto"/>
              <w:jc w:val="center"/>
              <w:rPr>
                <w:rFonts w:ascii="Times New Roman Regular" w:hAnsi="Times New Roman Regular" w:cs="Times New Roman Regular"/>
                <w:sz w:val="21"/>
                <w:szCs w:val="21"/>
              </w:rPr>
            </w:pPr>
          </w:p>
        </w:tc>
        <w:tc>
          <w:tcPr>
            <w:tcW w:w="2877" w:type="dxa"/>
            <w:gridSpan w:val="2"/>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2"/>
              </w:rPr>
              <w:t>硕士</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4</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360" w:lineRule="auto"/>
              <w:jc w:val="center"/>
              <w:rPr>
                <w:rFonts w:ascii="Times New Roman Regular" w:hAnsi="Times New Roman Regular" w:cs="Times New Roman Regular"/>
                <w:sz w:val="21"/>
                <w:szCs w:val="21"/>
              </w:rPr>
            </w:pPr>
          </w:p>
        </w:tc>
        <w:tc>
          <w:tcPr>
            <w:tcW w:w="2877" w:type="dxa"/>
            <w:gridSpan w:val="2"/>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2"/>
              </w:rPr>
              <w:t>学士</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360" w:lineRule="auto"/>
              <w:jc w:val="center"/>
              <w:rPr>
                <w:rFonts w:ascii="Times New Roman Regular" w:hAnsi="Times New Roman Regular" w:cs="Times New Roman Regular"/>
                <w:sz w:val="21"/>
                <w:szCs w:val="21"/>
              </w:rPr>
            </w:pPr>
          </w:p>
        </w:tc>
        <w:tc>
          <w:tcPr>
            <w:tcW w:w="2877" w:type="dxa"/>
            <w:gridSpan w:val="2"/>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2"/>
              </w:rPr>
              <w:t>无学位</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年龄</w:t>
            </w:r>
          </w:p>
        </w:tc>
        <w:tc>
          <w:tcPr>
            <w:tcW w:w="2877" w:type="dxa"/>
            <w:gridSpan w:val="2"/>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eastAsia="Times New Roman" w:cs="Times New Roman Regular"/>
                <w:b/>
                <w:sz w:val="21"/>
                <w:szCs w:val="22"/>
              </w:rPr>
              <w:t xml:space="preserve">35 </w:t>
            </w:r>
            <w:r>
              <w:rPr>
                <w:rFonts w:ascii="Times New Roman Regular" w:hAnsi="Times New Roman Regular" w:cs="Times New Roman Regular"/>
                <w:sz w:val="21"/>
                <w:szCs w:val="22"/>
              </w:rPr>
              <w:t>岁及以下</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360" w:lineRule="auto"/>
              <w:jc w:val="center"/>
              <w:rPr>
                <w:rFonts w:ascii="Times New Roman Regular" w:hAnsi="Times New Roman Regular" w:cs="Times New Roman Regular"/>
                <w:sz w:val="21"/>
                <w:szCs w:val="21"/>
              </w:rPr>
            </w:pPr>
          </w:p>
        </w:tc>
        <w:tc>
          <w:tcPr>
            <w:tcW w:w="2877" w:type="dxa"/>
            <w:gridSpan w:val="2"/>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eastAsia="Times New Roman" w:cs="Times New Roman Regular"/>
                <w:b/>
                <w:sz w:val="21"/>
                <w:szCs w:val="22"/>
              </w:rPr>
              <w:t xml:space="preserve">36-45 </w:t>
            </w:r>
            <w:r>
              <w:rPr>
                <w:rFonts w:ascii="Times New Roman Regular" w:hAnsi="Times New Roman Regular" w:cs="Times New Roman Regular"/>
                <w:sz w:val="21"/>
                <w:szCs w:val="22"/>
              </w:rPr>
              <w:t>岁</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w:t>
            </w:r>
          </w:p>
        </w:tc>
        <w:tc>
          <w:tcPr>
            <w:tcW w:w="2074" w:type="dxa"/>
            <w:vAlign w:val="center"/>
          </w:tcPr>
          <w:p>
            <w:pPr>
              <w:spacing w:line="360" w:lineRule="auto"/>
              <w:jc w:val="center"/>
              <w:rPr>
                <w:rFonts w:ascii="Times New Roman Regular" w:hAnsi="Times New Roman Regular" w:cs="Times New Roman Regular"/>
                <w:sz w:val="21"/>
                <w:szCs w:val="21"/>
              </w:rPr>
            </w:pPr>
            <w:bookmarkStart w:id="48" w:name="OLE_LINK32"/>
            <w:bookmarkEnd w:id="48"/>
            <w:r>
              <w:rPr>
                <w:rFonts w:ascii="Times New Roman Regular" w:hAnsi="Times New Roman Regular" w:cs="Times New Roman Regular"/>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360" w:lineRule="auto"/>
              <w:jc w:val="center"/>
              <w:rPr>
                <w:rFonts w:ascii="Times New Roman Regular" w:hAnsi="Times New Roman Regular" w:cs="Times New Roman Regular"/>
                <w:sz w:val="21"/>
                <w:szCs w:val="21"/>
              </w:rPr>
            </w:pPr>
          </w:p>
        </w:tc>
        <w:tc>
          <w:tcPr>
            <w:tcW w:w="2877" w:type="dxa"/>
            <w:gridSpan w:val="2"/>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eastAsia="Times New Roman" w:cs="Times New Roman Regular"/>
                <w:b/>
                <w:sz w:val="21"/>
                <w:szCs w:val="22"/>
              </w:rPr>
              <w:t xml:space="preserve">46-55 </w:t>
            </w:r>
            <w:r>
              <w:rPr>
                <w:rFonts w:ascii="Times New Roman Regular" w:hAnsi="Times New Roman Regular" w:cs="Times New Roman Regular"/>
                <w:sz w:val="21"/>
                <w:szCs w:val="22"/>
              </w:rPr>
              <w:t>岁</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4</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360" w:lineRule="auto"/>
              <w:jc w:val="center"/>
              <w:rPr>
                <w:rFonts w:ascii="Times New Roman Regular" w:hAnsi="Times New Roman Regular" w:cs="Times New Roman Regular"/>
                <w:sz w:val="21"/>
                <w:szCs w:val="21"/>
              </w:rPr>
            </w:pPr>
          </w:p>
        </w:tc>
        <w:tc>
          <w:tcPr>
            <w:tcW w:w="2877" w:type="dxa"/>
            <w:gridSpan w:val="2"/>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eastAsia="Times New Roman" w:cs="Times New Roman Regular"/>
                <w:b/>
                <w:sz w:val="21"/>
                <w:szCs w:val="22"/>
              </w:rPr>
              <w:t xml:space="preserve">56 </w:t>
            </w:r>
            <w:r>
              <w:rPr>
                <w:rFonts w:ascii="Times New Roman Regular" w:hAnsi="Times New Roman Regular" w:cs="Times New Roman Regular"/>
                <w:sz w:val="21"/>
                <w:szCs w:val="22"/>
              </w:rPr>
              <w:t>岁及以上</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学缘</w:t>
            </w:r>
          </w:p>
        </w:tc>
        <w:tc>
          <w:tcPr>
            <w:tcW w:w="2877" w:type="dxa"/>
            <w:gridSpan w:val="2"/>
            <w:vAlign w:val="center"/>
          </w:tcPr>
          <w:p>
            <w:pPr>
              <w:spacing w:line="360" w:lineRule="auto"/>
              <w:jc w:val="center"/>
              <w:rPr>
                <w:rFonts w:ascii="Times New Roman Regular" w:hAnsi="Times New Roman Regular" w:cs="Times New Roman Regular"/>
                <w:sz w:val="21"/>
                <w:szCs w:val="21"/>
              </w:rPr>
            </w:pPr>
            <w:bookmarkStart w:id="49" w:name="OLE_LINK27"/>
            <w:r>
              <w:rPr>
                <w:rFonts w:ascii="Times New Roman Regular" w:hAnsi="Times New Roman Regular" w:cs="Times New Roman Regular"/>
                <w:sz w:val="21"/>
                <w:szCs w:val="22"/>
              </w:rPr>
              <w:t>本校</w:t>
            </w:r>
            <w:bookmarkEnd w:id="49"/>
          </w:p>
        </w:tc>
        <w:tc>
          <w:tcPr>
            <w:tcW w:w="2074" w:type="dxa"/>
            <w:vAlign w:val="center"/>
          </w:tcPr>
          <w:p>
            <w:pPr>
              <w:spacing w:line="360" w:lineRule="auto"/>
              <w:jc w:val="center"/>
              <w:rPr>
                <w:rFonts w:ascii="Times New Roman Regular" w:hAnsi="Times New Roman Regular" w:cs="Times New Roman Regular"/>
                <w:sz w:val="21"/>
                <w:szCs w:val="21"/>
              </w:rPr>
            </w:pPr>
            <w:bookmarkStart w:id="50" w:name="OLE_LINK29"/>
            <w:bookmarkEnd w:id="50"/>
            <w:r>
              <w:rPr>
                <w:rFonts w:ascii="Times New Roman Regular" w:hAnsi="Times New Roman Regular" w:cs="Times New Roman Regular"/>
                <w:sz w:val="21"/>
                <w:szCs w:val="21"/>
              </w:rPr>
              <w:t>0</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360" w:lineRule="auto"/>
              <w:jc w:val="center"/>
              <w:rPr>
                <w:rFonts w:ascii="Times New Roman Regular" w:hAnsi="Times New Roman Regular" w:cs="Times New Roman Regular"/>
                <w:sz w:val="21"/>
                <w:szCs w:val="21"/>
              </w:rPr>
            </w:pPr>
          </w:p>
        </w:tc>
        <w:tc>
          <w:tcPr>
            <w:tcW w:w="1276" w:type="dxa"/>
            <w:vMerge w:val="restart"/>
            <w:vAlign w:val="center"/>
          </w:tcPr>
          <w:p>
            <w:pPr>
              <w:spacing w:line="360" w:lineRule="auto"/>
              <w:jc w:val="center"/>
              <w:rPr>
                <w:rFonts w:ascii="Times New Roman Regular" w:hAnsi="Times New Roman Regular" w:cs="Times New Roman Regular"/>
                <w:sz w:val="21"/>
                <w:szCs w:val="21"/>
              </w:rPr>
            </w:pPr>
            <w:bookmarkStart w:id="51" w:name="OLE_LINK28"/>
            <w:r>
              <w:rPr>
                <w:rFonts w:ascii="Times New Roman Regular" w:hAnsi="Times New Roman Regular" w:cs="Times New Roman Regular"/>
                <w:sz w:val="21"/>
                <w:szCs w:val="22"/>
              </w:rPr>
              <w:t>外校</w:t>
            </w:r>
            <w:bookmarkEnd w:id="51"/>
          </w:p>
        </w:tc>
        <w:tc>
          <w:tcPr>
            <w:tcW w:w="160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2"/>
              </w:rPr>
              <w:t>境内</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9</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90</w:t>
            </w:r>
          </w:p>
        </w:tc>
      </w:tr>
      <w:tr>
        <w:tblPrEx>
          <w:tblCellMar>
            <w:top w:w="0" w:type="dxa"/>
            <w:left w:w="108" w:type="dxa"/>
            <w:bottom w:w="0" w:type="dxa"/>
            <w:right w:w="108" w:type="dxa"/>
          </w:tblCellMar>
        </w:tblPrEx>
        <w:trPr>
          <w:cantSplit/>
        </w:trPr>
        <w:tc>
          <w:tcPr>
            <w:tcW w:w="1271" w:type="dxa"/>
            <w:vMerge w:val="continue"/>
            <w:vAlign w:val="center"/>
          </w:tcPr>
          <w:p>
            <w:pPr>
              <w:spacing w:line="360" w:lineRule="auto"/>
              <w:jc w:val="center"/>
              <w:rPr>
                <w:rFonts w:ascii="Times New Roman Regular" w:hAnsi="Times New Roman Regular" w:cs="Times New Roman Regular"/>
                <w:sz w:val="21"/>
                <w:szCs w:val="21"/>
              </w:rPr>
            </w:pPr>
          </w:p>
        </w:tc>
        <w:tc>
          <w:tcPr>
            <w:tcW w:w="1276" w:type="dxa"/>
            <w:vMerge w:val="continue"/>
            <w:vAlign w:val="center"/>
          </w:tcPr>
          <w:p>
            <w:pPr>
              <w:spacing w:line="360" w:lineRule="auto"/>
              <w:jc w:val="center"/>
              <w:rPr>
                <w:rFonts w:ascii="Times New Roman Regular" w:hAnsi="Times New Roman Regular" w:cs="Times New Roman Regular"/>
                <w:sz w:val="21"/>
                <w:szCs w:val="21"/>
              </w:rPr>
            </w:pPr>
          </w:p>
        </w:tc>
        <w:tc>
          <w:tcPr>
            <w:tcW w:w="160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2"/>
              </w:rPr>
              <w:t>境外</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10</w:t>
            </w:r>
          </w:p>
        </w:tc>
      </w:tr>
    </w:tbl>
    <w:p>
      <w:pPr>
        <w:spacing w:line="360" w:lineRule="auto"/>
        <w:rPr>
          <w:rFonts w:ascii="Times New Roman Regular" w:hAnsi="Times New Roman Regular" w:cs="Times New Roman Regular"/>
        </w:rPr>
      </w:pPr>
    </w:p>
    <w:p>
      <w:pPr>
        <w:pStyle w:val="4"/>
        <w:spacing w:line="360" w:lineRule="auto"/>
        <w:rPr>
          <w:rFonts w:ascii="Times New Roman Regular" w:hAnsi="Times New Roman Regular" w:eastAsia="宋体" w:cs="Times New Roman Regular"/>
          <w:sz w:val="24"/>
          <w:szCs w:val="24"/>
        </w:rPr>
      </w:pPr>
      <w:bookmarkStart w:id="52" w:name="_Toc1624843311"/>
      <w:r>
        <w:rPr>
          <w:rFonts w:ascii="Times New Roman Regular" w:hAnsi="Times New Roman Regular" w:eastAsia="宋体" w:cs="Times New Roman Regular"/>
          <w:sz w:val="24"/>
          <w:szCs w:val="24"/>
        </w:rPr>
        <w:t>4.2授课师资分析</w:t>
      </w:r>
      <w:bookmarkEnd w:id="52"/>
    </w:p>
    <w:p>
      <w:pPr>
        <w:pStyle w:val="5"/>
        <w:spacing w:line="360" w:lineRule="auto"/>
        <w:rPr>
          <w:rFonts w:ascii="Times New Roman Regular" w:hAnsi="Times New Roman Regular" w:eastAsia="宋体" w:cs="Times New Roman Regular"/>
          <w:b w:val="0"/>
          <w:bCs w:val="0"/>
          <w:kern w:val="2"/>
          <w:sz w:val="24"/>
          <w:szCs w:val="24"/>
        </w:rPr>
      </w:pPr>
      <w:r>
        <w:rPr>
          <w:rFonts w:ascii="Times New Roman Regular" w:hAnsi="Times New Roman Regular" w:eastAsia="宋体" w:cs="Times New Roman Regular"/>
          <w:b w:val="0"/>
          <w:bCs w:val="0"/>
          <w:kern w:val="2"/>
          <w:sz w:val="24"/>
          <w:szCs w:val="24"/>
        </w:rPr>
        <w:t>4.2.1专业课校内授课教师职称情况分析</w:t>
      </w:r>
    </w:p>
    <w:p>
      <w:pPr>
        <w:spacing w:line="360" w:lineRule="auto"/>
        <w:jc w:val="center"/>
        <w:rPr>
          <w:rFonts w:ascii="Times New Roman Regular" w:hAnsi="Times New Roman Regular" w:cs="Times New Roman Regular"/>
        </w:rPr>
      </w:pPr>
      <w:r>
        <w:rPr>
          <w:rFonts w:ascii="Times New Roman Regular" w:hAnsi="Times New Roman Regular" w:cs="Times New Roman Regular"/>
          <w:kern w:val="2"/>
        </w:rPr>
        <w:t>表4-3 专业课校内授课教师职称情况分析</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21"/>
        <w:gridCol w:w="1822"/>
        <w:gridCol w:w="2060"/>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000000" w:sz="2" w:space="0"/>
              <w:left w:val="single" w:color="000000" w:sz="4" w:space="0"/>
              <w:bottom w:val="single" w:color="000000" w:sz="2" w:space="0"/>
              <w:right w:val="single" w:color="000000" w:sz="2" w:space="0"/>
            </w:tcBorders>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项目</w:t>
            </w:r>
          </w:p>
        </w:tc>
        <w:tc>
          <w:tcPr>
            <w:tcW w:w="1821"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专业课授课教师</w:t>
            </w:r>
          </w:p>
        </w:tc>
        <w:tc>
          <w:tcPr>
            <w:tcW w:w="1822"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比例(%)</w:t>
            </w:r>
          </w:p>
        </w:tc>
        <w:tc>
          <w:tcPr>
            <w:tcW w:w="2060"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Times New Roman Regular" w:hAnsi="Times New Roman Regular" w:cs="Times New Roman Regular"/>
                <w:sz w:val="21"/>
                <w:szCs w:val="21"/>
              </w:rPr>
            </w:pPr>
            <w:bookmarkStart w:id="53" w:name="OLE_LINK33"/>
            <w:r>
              <w:rPr>
                <w:rFonts w:ascii="Times New Roman Regular" w:hAnsi="Times New Roman Regular" w:cs="Times New Roman Regular"/>
                <w:sz w:val="21"/>
                <w:szCs w:val="21"/>
              </w:rPr>
              <w:t>核心课授课</w:t>
            </w:r>
            <w:bookmarkEnd w:id="53"/>
            <w:r>
              <w:rPr>
                <w:rFonts w:ascii="Times New Roman Regular" w:hAnsi="Times New Roman Regular" w:cs="Times New Roman Regular"/>
                <w:sz w:val="21"/>
                <w:szCs w:val="21"/>
              </w:rPr>
              <w:t>教师</w:t>
            </w:r>
          </w:p>
        </w:tc>
        <w:tc>
          <w:tcPr>
            <w:tcW w:w="2060"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总数</w:t>
            </w:r>
          </w:p>
        </w:tc>
        <w:tc>
          <w:tcPr>
            <w:tcW w:w="182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113</w:t>
            </w:r>
          </w:p>
        </w:tc>
        <w:tc>
          <w:tcPr>
            <w:tcW w:w="182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206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36</w:t>
            </w:r>
          </w:p>
        </w:tc>
        <w:tc>
          <w:tcPr>
            <w:tcW w:w="206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教授</w:t>
            </w:r>
          </w:p>
        </w:tc>
        <w:tc>
          <w:tcPr>
            <w:tcW w:w="182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16</w:t>
            </w:r>
          </w:p>
        </w:tc>
        <w:tc>
          <w:tcPr>
            <w:tcW w:w="182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14.16</w:t>
            </w:r>
          </w:p>
        </w:tc>
        <w:tc>
          <w:tcPr>
            <w:tcW w:w="206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w:t>
            </w:r>
          </w:p>
        </w:tc>
        <w:tc>
          <w:tcPr>
            <w:tcW w:w="206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副教授</w:t>
            </w:r>
          </w:p>
        </w:tc>
        <w:tc>
          <w:tcPr>
            <w:tcW w:w="182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40</w:t>
            </w:r>
          </w:p>
        </w:tc>
        <w:tc>
          <w:tcPr>
            <w:tcW w:w="182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35.4</w:t>
            </w:r>
          </w:p>
        </w:tc>
        <w:tc>
          <w:tcPr>
            <w:tcW w:w="206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11</w:t>
            </w:r>
          </w:p>
        </w:tc>
        <w:tc>
          <w:tcPr>
            <w:tcW w:w="206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30.56</w:t>
            </w:r>
            <w:bookmarkStart w:id="54" w:name="OLE_LINK34"/>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讲师</w:t>
            </w:r>
          </w:p>
        </w:tc>
        <w:tc>
          <w:tcPr>
            <w:tcW w:w="182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44</w:t>
            </w:r>
          </w:p>
        </w:tc>
        <w:tc>
          <w:tcPr>
            <w:tcW w:w="182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38.94</w:t>
            </w:r>
          </w:p>
        </w:tc>
        <w:tc>
          <w:tcPr>
            <w:tcW w:w="206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19</w:t>
            </w:r>
          </w:p>
        </w:tc>
        <w:tc>
          <w:tcPr>
            <w:tcW w:w="206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助教</w:t>
            </w:r>
          </w:p>
        </w:tc>
        <w:tc>
          <w:tcPr>
            <w:tcW w:w="182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182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06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06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其他正高级</w:t>
            </w:r>
          </w:p>
        </w:tc>
        <w:tc>
          <w:tcPr>
            <w:tcW w:w="182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w:t>
            </w:r>
          </w:p>
        </w:tc>
        <w:tc>
          <w:tcPr>
            <w:tcW w:w="182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0.88</w:t>
            </w:r>
          </w:p>
        </w:tc>
        <w:tc>
          <w:tcPr>
            <w:tcW w:w="206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06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其他副高级</w:t>
            </w:r>
          </w:p>
        </w:tc>
        <w:tc>
          <w:tcPr>
            <w:tcW w:w="182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182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06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06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其他中级</w:t>
            </w:r>
          </w:p>
        </w:tc>
        <w:tc>
          <w:tcPr>
            <w:tcW w:w="182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11</w:t>
            </w:r>
          </w:p>
        </w:tc>
        <w:tc>
          <w:tcPr>
            <w:tcW w:w="182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9.73</w:t>
            </w:r>
          </w:p>
        </w:tc>
        <w:tc>
          <w:tcPr>
            <w:tcW w:w="206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06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其他初级</w:t>
            </w:r>
          </w:p>
        </w:tc>
        <w:tc>
          <w:tcPr>
            <w:tcW w:w="182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w:t>
            </w:r>
          </w:p>
        </w:tc>
        <w:tc>
          <w:tcPr>
            <w:tcW w:w="182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0.88</w:t>
            </w:r>
          </w:p>
        </w:tc>
        <w:tc>
          <w:tcPr>
            <w:tcW w:w="206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w:t>
            </w:r>
          </w:p>
        </w:tc>
        <w:tc>
          <w:tcPr>
            <w:tcW w:w="206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未评级</w:t>
            </w:r>
          </w:p>
        </w:tc>
        <w:tc>
          <w:tcPr>
            <w:tcW w:w="182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182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06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06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bl>
    <w:p>
      <w:pPr>
        <w:spacing w:line="360" w:lineRule="auto"/>
        <w:rPr>
          <w:rFonts w:ascii="Times New Roman Regular" w:hAnsi="Times New Roman Regular" w:cs="Times New Roman Regular"/>
        </w:rPr>
      </w:pPr>
    </w:p>
    <w:p>
      <w:pPr>
        <w:pStyle w:val="5"/>
        <w:spacing w:line="360" w:lineRule="auto"/>
        <w:rPr>
          <w:rFonts w:ascii="Times New Roman Regular" w:hAnsi="Times New Roman Regular" w:eastAsia="宋体" w:cs="Times New Roman Regular"/>
          <w:b w:val="0"/>
          <w:bCs w:val="0"/>
          <w:kern w:val="2"/>
          <w:sz w:val="24"/>
          <w:szCs w:val="24"/>
        </w:rPr>
      </w:pPr>
      <w:r>
        <w:rPr>
          <w:rFonts w:ascii="Times New Roman Regular" w:hAnsi="Times New Roman Regular" w:eastAsia="宋体" w:cs="Times New Roman Regular"/>
          <w:b w:val="0"/>
          <w:bCs w:val="0"/>
          <w:kern w:val="2"/>
          <w:sz w:val="24"/>
          <w:szCs w:val="24"/>
        </w:rPr>
        <w:t>4.2.2专业课校内授课教师最高学位情况分析</w:t>
      </w:r>
    </w:p>
    <w:p>
      <w:pPr>
        <w:spacing w:line="360" w:lineRule="auto"/>
        <w:jc w:val="center"/>
        <w:rPr>
          <w:rFonts w:ascii="Times New Roman Regular" w:hAnsi="Times New Roman Regular" w:cs="Times New Roman Regular"/>
        </w:rPr>
      </w:pPr>
      <w:r>
        <w:rPr>
          <w:rFonts w:ascii="Times New Roman Regular" w:hAnsi="Times New Roman Regular" w:cs="Times New Roman Regular"/>
          <w:kern w:val="2"/>
        </w:rPr>
        <w:t>表4-4 专业课校内授课教师最高学位情况分析</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776"/>
        <w:gridCol w:w="1628"/>
        <w:gridCol w:w="2074"/>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000000" w:sz="2" w:space="0"/>
              <w:left w:val="single" w:color="000000" w:sz="4" w:space="0"/>
              <w:bottom w:val="single" w:color="000000" w:sz="2" w:space="0"/>
              <w:right w:val="single" w:color="000000" w:sz="2" w:space="0"/>
            </w:tcBorders>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项目</w:t>
            </w:r>
          </w:p>
        </w:tc>
        <w:tc>
          <w:tcPr>
            <w:tcW w:w="1776"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专业课授课教师</w:t>
            </w:r>
          </w:p>
        </w:tc>
        <w:tc>
          <w:tcPr>
            <w:tcW w:w="1628"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比例(%)</w:t>
            </w:r>
          </w:p>
        </w:tc>
        <w:tc>
          <w:tcPr>
            <w:tcW w:w="2074"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核心课授课教师</w:t>
            </w:r>
          </w:p>
        </w:tc>
        <w:tc>
          <w:tcPr>
            <w:tcW w:w="1925"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2"/>
              </w:rPr>
              <w:t>博士</w:t>
            </w:r>
          </w:p>
        </w:tc>
        <w:tc>
          <w:tcPr>
            <w:tcW w:w="177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81</w:t>
            </w:r>
          </w:p>
        </w:tc>
        <w:tc>
          <w:tcPr>
            <w:tcW w:w="162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71.68</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29</w:t>
            </w:r>
          </w:p>
        </w:tc>
        <w:tc>
          <w:tcPr>
            <w:tcW w:w="192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80.56</w:t>
            </w:r>
            <w:bookmarkStart w:id="55" w:name="OLE_LINK36"/>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2"/>
              </w:rPr>
              <w:t>硕士</w:t>
            </w:r>
          </w:p>
        </w:tc>
        <w:tc>
          <w:tcPr>
            <w:tcW w:w="177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31</w:t>
            </w:r>
          </w:p>
        </w:tc>
        <w:tc>
          <w:tcPr>
            <w:tcW w:w="162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27.43</w:t>
            </w:r>
            <w:bookmarkStart w:id="56" w:name="OLE_LINK35"/>
            <w:bookmarkEnd w:id="56"/>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7</w:t>
            </w:r>
          </w:p>
        </w:tc>
        <w:tc>
          <w:tcPr>
            <w:tcW w:w="192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19.44</w:t>
            </w:r>
            <w:bookmarkStart w:id="57" w:name="OLE_LINK37"/>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2"/>
              </w:rPr>
              <w:t>学士</w:t>
            </w:r>
          </w:p>
        </w:tc>
        <w:tc>
          <w:tcPr>
            <w:tcW w:w="177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w:t>
            </w:r>
          </w:p>
        </w:tc>
        <w:tc>
          <w:tcPr>
            <w:tcW w:w="162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0.88</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192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2"/>
              </w:rPr>
              <w:t>无学位</w:t>
            </w:r>
          </w:p>
        </w:tc>
        <w:tc>
          <w:tcPr>
            <w:tcW w:w="177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162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07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192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bookmarkStart w:id="58" w:name="OLE_LINK38"/>
            <w:bookmarkEnd w:id="58"/>
          </w:p>
        </w:tc>
      </w:tr>
    </w:tbl>
    <w:p>
      <w:pPr>
        <w:spacing w:line="360" w:lineRule="auto"/>
        <w:rPr>
          <w:rFonts w:ascii="Times New Roman Regular" w:hAnsi="Times New Roman Regular" w:cs="Times New Roman Regular"/>
        </w:rPr>
      </w:pPr>
    </w:p>
    <w:p>
      <w:pPr>
        <w:pStyle w:val="5"/>
        <w:spacing w:line="360" w:lineRule="auto"/>
        <w:rPr>
          <w:rFonts w:ascii="Times New Roman Regular" w:hAnsi="Times New Roman Regular" w:eastAsia="宋体" w:cs="Times New Roman Regular"/>
          <w:b w:val="0"/>
          <w:bCs w:val="0"/>
          <w:kern w:val="2"/>
          <w:sz w:val="24"/>
          <w:szCs w:val="24"/>
        </w:rPr>
      </w:pPr>
      <w:r>
        <w:rPr>
          <w:rFonts w:ascii="Times New Roman Regular" w:hAnsi="Times New Roman Regular" w:eastAsia="宋体" w:cs="Times New Roman Regular"/>
          <w:b w:val="0"/>
          <w:bCs w:val="0"/>
          <w:kern w:val="2"/>
          <w:sz w:val="24"/>
          <w:szCs w:val="24"/>
        </w:rPr>
        <w:t>4.2.3专业课校内授课教师</w:t>
      </w:r>
      <w:bookmarkStart w:id="59" w:name="OLE_LINK39"/>
      <w:r>
        <w:rPr>
          <w:rFonts w:ascii="Times New Roman Regular" w:hAnsi="Times New Roman Regular" w:eastAsia="宋体" w:cs="Times New Roman Regular"/>
          <w:b w:val="0"/>
          <w:bCs w:val="0"/>
          <w:kern w:val="2"/>
          <w:sz w:val="24"/>
          <w:szCs w:val="24"/>
        </w:rPr>
        <w:t>年龄</w:t>
      </w:r>
      <w:bookmarkEnd w:id="59"/>
      <w:r>
        <w:rPr>
          <w:rFonts w:ascii="Times New Roman Regular" w:hAnsi="Times New Roman Regular" w:eastAsia="宋体" w:cs="Times New Roman Regular"/>
          <w:b w:val="0"/>
          <w:bCs w:val="0"/>
          <w:kern w:val="2"/>
          <w:sz w:val="24"/>
          <w:szCs w:val="24"/>
        </w:rPr>
        <w:t>情况分析</w:t>
      </w:r>
    </w:p>
    <w:p>
      <w:pPr>
        <w:spacing w:line="360" w:lineRule="auto"/>
        <w:jc w:val="center"/>
        <w:rPr>
          <w:rFonts w:ascii="Times New Roman Regular" w:hAnsi="Times New Roman Regular" w:cs="Times New Roman Regular"/>
        </w:rPr>
      </w:pPr>
      <w:r>
        <w:rPr>
          <w:rFonts w:ascii="Times New Roman Regular" w:hAnsi="Times New Roman Regular" w:cs="Times New Roman Regular"/>
          <w:kern w:val="2"/>
        </w:rPr>
        <w:t>表4-5专业课校内授课教师年龄情况分析</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593"/>
        <w:gridCol w:w="1754"/>
        <w:gridCol w:w="1916"/>
        <w:gridCol w:w="2078"/>
      </w:tblGrid>
      <w:tr>
        <w:tblPrEx>
          <w:tblCellMar>
            <w:top w:w="0" w:type="dxa"/>
            <w:left w:w="108" w:type="dxa"/>
            <w:bottom w:w="0" w:type="dxa"/>
            <w:right w:w="108" w:type="dxa"/>
          </w:tblCellMar>
        </w:tblPrEx>
        <w:tc>
          <w:tcPr>
            <w:tcW w:w="957" w:type="dxa"/>
            <w:tcBorders>
              <w:top w:val="single" w:color="000000" w:sz="2" w:space="0"/>
              <w:left w:val="single" w:color="000000" w:sz="4" w:space="0"/>
              <w:bottom w:val="single" w:color="000000" w:sz="2" w:space="0"/>
              <w:right w:val="single" w:color="000000" w:sz="2" w:space="0"/>
            </w:tcBorders>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项目</w:t>
            </w:r>
          </w:p>
        </w:tc>
        <w:tc>
          <w:tcPr>
            <w:tcW w:w="1593"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专业课授课教师</w:t>
            </w:r>
          </w:p>
        </w:tc>
        <w:tc>
          <w:tcPr>
            <w:tcW w:w="1754"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比例(%)</w:t>
            </w:r>
          </w:p>
        </w:tc>
        <w:tc>
          <w:tcPr>
            <w:tcW w:w="1916"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核心课授课教师</w:t>
            </w:r>
          </w:p>
        </w:tc>
        <w:tc>
          <w:tcPr>
            <w:tcW w:w="2078"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eastAsia="Times New Roman" w:cs="Times New Roman Regular"/>
                <w:b/>
                <w:sz w:val="21"/>
                <w:szCs w:val="22"/>
              </w:rPr>
              <w:t xml:space="preserve">35 </w:t>
            </w:r>
            <w:r>
              <w:rPr>
                <w:rFonts w:ascii="Times New Roman Regular" w:hAnsi="Times New Roman Regular" w:cs="Times New Roman Regular"/>
                <w:sz w:val="21"/>
                <w:szCs w:val="22"/>
              </w:rPr>
              <w:t>岁及以下</w:t>
            </w:r>
          </w:p>
        </w:tc>
        <w:tc>
          <w:tcPr>
            <w:tcW w:w="1593"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17</w:t>
            </w:r>
          </w:p>
        </w:tc>
        <w:tc>
          <w:tcPr>
            <w:tcW w:w="175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15.04</w:t>
            </w:r>
          </w:p>
        </w:tc>
        <w:tc>
          <w:tcPr>
            <w:tcW w:w="191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7</w:t>
            </w:r>
          </w:p>
        </w:tc>
        <w:tc>
          <w:tcPr>
            <w:tcW w:w="207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eastAsia="Times New Roman" w:cs="Times New Roman Regular"/>
                <w:b/>
                <w:sz w:val="21"/>
                <w:szCs w:val="22"/>
              </w:rPr>
              <w:t xml:space="preserve">36-45 </w:t>
            </w:r>
            <w:r>
              <w:rPr>
                <w:rFonts w:ascii="Times New Roman Regular" w:hAnsi="Times New Roman Regular" w:cs="Times New Roman Regular"/>
                <w:sz w:val="21"/>
                <w:szCs w:val="22"/>
              </w:rPr>
              <w:t>岁</w:t>
            </w:r>
          </w:p>
        </w:tc>
        <w:tc>
          <w:tcPr>
            <w:tcW w:w="1593"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59</w:t>
            </w:r>
          </w:p>
        </w:tc>
        <w:tc>
          <w:tcPr>
            <w:tcW w:w="175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52.21</w:t>
            </w:r>
          </w:p>
        </w:tc>
        <w:tc>
          <w:tcPr>
            <w:tcW w:w="191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19</w:t>
            </w:r>
          </w:p>
        </w:tc>
        <w:tc>
          <w:tcPr>
            <w:tcW w:w="207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eastAsia="Times New Roman" w:cs="Times New Roman Regular"/>
                <w:b/>
                <w:sz w:val="21"/>
                <w:szCs w:val="22"/>
              </w:rPr>
              <w:t xml:space="preserve">46-55 </w:t>
            </w:r>
            <w:r>
              <w:rPr>
                <w:rFonts w:ascii="Times New Roman Regular" w:hAnsi="Times New Roman Regular" w:cs="Times New Roman Regular"/>
                <w:sz w:val="21"/>
                <w:szCs w:val="22"/>
              </w:rPr>
              <w:t>岁</w:t>
            </w:r>
          </w:p>
        </w:tc>
        <w:tc>
          <w:tcPr>
            <w:tcW w:w="1593"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31</w:t>
            </w:r>
          </w:p>
        </w:tc>
        <w:tc>
          <w:tcPr>
            <w:tcW w:w="175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27.43</w:t>
            </w:r>
          </w:p>
        </w:tc>
        <w:tc>
          <w:tcPr>
            <w:tcW w:w="191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8</w:t>
            </w:r>
          </w:p>
        </w:tc>
        <w:tc>
          <w:tcPr>
            <w:tcW w:w="207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eastAsia="Times New Roman" w:cs="Times New Roman Regular"/>
                <w:b/>
                <w:sz w:val="21"/>
                <w:szCs w:val="22"/>
              </w:rPr>
              <w:t xml:space="preserve">56 </w:t>
            </w:r>
            <w:r>
              <w:rPr>
                <w:rFonts w:ascii="Times New Roman Regular" w:hAnsi="Times New Roman Regular" w:cs="Times New Roman Regular"/>
                <w:sz w:val="21"/>
                <w:szCs w:val="22"/>
              </w:rPr>
              <w:t>岁及以上</w:t>
            </w:r>
          </w:p>
        </w:tc>
        <w:tc>
          <w:tcPr>
            <w:tcW w:w="1593"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6</w:t>
            </w:r>
          </w:p>
        </w:tc>
        <w:tc>
          <w:tcPr>
            <w:tcW w:w="175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5.31</w:t>
            </w:r>
          </w:p>
        </w:tc>
        <w:tc>
          <w:tcPr>
            <w:tcW w:w="191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207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5.56</w:t>
            </w:r>
            <w:bookmarkStart w:id="60" w:name="OLE_LINK40"/>
            <w:bookmarkEnd w:id="60"/>
          </w:p>
        </w:tc>
      </w:tr>
    </w:tbl>
    <w:p>
      <w:pPr>
        <w:spacing w:line="360" w:lineRule="auto"/>
        <w:rPr>
          <w:rFonts w:ascii="Times New Roman Regular" w:hAnsi="Times New Roman Regular" w:cs="Times New Roman Regular"/>
        </w:rPr>
      </w:pPr>
    </w:p>
    <w:p>
      <w:pPr>
        <w:pStyle w:val="5"/>
        <w:spacing w:line="360" w:lineRule="auto"/>
        <w:rPr>
          <w:rFonts w:ascii="Times New Roman Regular" w:hAnsi="Times New Roman Regular" w:eastAsia="宋体" w:cs="Times New Roman Regular"/>
          <w:b w:val="0"/>
          <w:bCs w:val="0"/>
          <w:kern w:val="2"/>
          <w:sz w:val="24"/>
          <w:szCs w:val="24"/>
        </w:rPr>
      </w:pPr>
      <w:r>
        <w:rPr>
          <w:rFonts w:ascii="Times New Roman Regular" w:hAnsi="Times New Roman Regular" w:eastAsia="宋体" w:cs="Times New Roman Regular"/>
          <w:b w:val="0"/>
          <w:bCs w:val="0"/>
          <w:kern w:val="2"/>
          <w:sz w:val="24"/>
          <w:szCs w:val="24"/>
        </w:rPr>
        <w:t>4.2.4专业课校内授课教师来源情况分析</w:t>
      </w:r>
    </w:p>
    <w:p>
      <w:pPr>
        <w:spacing w:line="360" w:lineRule="auto"/>
        <w:jc w:val="center"/>
        <w:rPr>
          <w:rFonts w:ascii="Times New Roman Regular" w:hAnsi="Times New Roman Regular" w:cs="Times New Roman Regular"/>
        </w:rPr>
      </w:pPr>
      <w:r>
        <w:rPr>
          <w:rFonts w:ascii="Times New Roman Regular" w:hAnsi="Times New Roman Regular" w:cs="Times New Roman Regular"/>
          <w:kern w:val="2"/>
        </w:rPr>
        <w:t>表4-6 专业课校内授课教师来源情况分析</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643"/>
        <w:gridCol w:w="1786"/>
        <w:gridCol w:w="1929"/>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Borders>
              <w:top w:val="single" w:color="000000" w:sz="2" w:space="0"/>
              <w:left w:val="single" w:color="000000" w:sz="4" w:space="0"/>
              <w:bottom w:val="single" w:color="000000" w:sz="2" w:space="0"/>
              <w:right w:val="single" w:color="000000" w:sz="2" w:space="0"/>
            </w:tcBorders>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项目</w:t>
            </w:r>
          </w:p>
        </w:tc>
        <w:tc>
          <w:tcPr>
            <w:tcW w:w="1643"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专业课授课教师</w:t>
            </w:r>
          </w:p>
        </w:tc>
        <w:tc>
          <w:tcPr>
            <w:tcW w:w="1786"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比例(%)</w:t>
            </w:r>
          </w:p>
        </w:tc>
        <w:tc>
          <w:tcPr>
            <w:tcW w:w="1929"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核心课授课教师</w:t>
            </w:r>
          </w:p>
        </w:tc>
        <w:tc>
          <w:tcPr>
            <w:tcW w:w="2071"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2"/>
              </w:rPr>
              <w:t>本专业</w:t>
            </w:r>
          </w:p>
        </w:tc>
        <w:tc>
          <w:tcPr>
            <w:tcW w:w="1643"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13</w:t>
            </w:r>
          </w:p>
        </w:tc>
        <w:tc>
          <w:tcPr>
            <w:tcW w:w="178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11.5</w:t>
            </w:r>
          </w:p>
        </w:tc>
        <w:tc>
          <w:tcPr>
            <w:tcW w:w="192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11</w:t>
            </w:r>
            <w:bookmarkStart w:id="61" w:name="OLE_LINK41"/>
            <w:bookmarkEnd w:id="61"/>
          </w:p>
        </w:tc>
        <w:tc>
          <w:tcPr>
            <w:tcW w:w="207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2"/>
              </w:rPr>
              <w:t>本学院外专业</w:t>
            </w:r>
          </w:p>
        </w:tc>
        <w:tc>
          <w:tcPr>
            <w:tcW w:w="1643"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62</w:t>
            </w:r>
          </w:p>
        </w:tc>
        <w:tc>
          <w:tcPr>
            <w:tcW w:w="178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54.87</w:t>
            </w:r>
          </w:p>
        </w:tc>
        <w:tc>
          <w:tcPr>
            <w:tcW w:w="192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24</w:t>
            </w:r>
          </w:p>
        </w:tc>
        <w:tc>
          <w:tcPr>
            <w:tcW w:w="207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2"/>
              </w:rPr>
              <w:t>校内其他单位</w:t>
            </w:r>
          </w:p>
        </w:tc>
        <w:tc>
          <w:tcPr>
            <w:tcW w:w="1643"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38</w:t>
            </w:r>
          </w:p>
        </w:tc>
        <w:tc>
          <w:tcPr>
            <w:tcW w:w="178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33.63</w:t>
            </w:r>
          </w:p>
        </w:tc>
        <w:tc>
          <w:tcPr>
            <w:tcW w:w="192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w:t>
            </w:r>
          </w:p>
        </w:tc>
        <w:tc>
          <w:tcPr>
            <w:tcW w:w="207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2.78</w:t>
            </w:r>
          </w:p>
        </w:tc>
      </w:tr>
    </w:tbl>
    <w:p>
      <w:pPr>
        <w:spacing w:line="360" w:lineRule="auto"/>
        <w:rPr>
          <w:rFonts w:ascii="Times New Roman Regular" w:hAnsi="Times New Roman Regular" w:cs="Times New Roman Regular"/>
        </w:rPr>
      </w:pPr>
    </w:p>
    <w:p>
      <w:pPr>
        <w:pStyle w:val="5"/>
        <w:spacing w:line="360" w:lineRule="auto"/>
        <w:rPr>
          <w:rFonts w:ascii="Times New Roman Regular" w:hAnsi="Times New Roman Regular" w:eastAsia="宋体" w:cs="Times New Roman Regular"/>
          <w:b w:val="0"/>
          <w:bCs w:val="0"/>
          <w:kern w:val="2"/>
          <w:sz w:val="24"/>
          <w:szCs w:val="24"/>
        </w:rPr>
      </w:pPr>
      <w:r>
        <w:rPr>
          <w:rFonts w:ascii="Times New Roman Regular" w:hAnsi="Times New Roman Regular" w:eastAsia="宋体" w:cs="Times New Roman Regular"/>
          <w:b w:val="0"/>
          <w:bCs w:val="0"/>
          <w:kern w:val="2"/>
          <w:sz w:val="24"/>
          <w:szCs w:val="24"/>
        </w:rPr>
        <w:t>4.2.5专业课外聘授课教师情况分析</w:t>
      </w:r>
    </w:p>
    <w:p>
      <w:pPr>
        <w:spacing w:line="360" w:lineRule="auto"/>
        <w:jc w:val="center"/>
        <w:rPr>
          <w:rFonts w:ascii="Times New Roman Regular" w:hAnsi="Times New Roman Regular" w:cs="Times New Roman Regular"/>
        </w:rPr>
      </w:pPr>
      <w:r>
        <w:rPr>
          <w:rFonts w:ascii="Times New Roman Regular" w:hAnsi="Times New Roman Regular" w:cs="Times New Roman Regular"/>
          <w:kern w:val="2"/>
        </w:rPr>
        <w:t>表4-7 专业课外聘授课教师情况分析</w:t>
      </w:r>
    </w:p>
    <w:tbl>
      <w:tblPr>
        <w:tblStyle w:val="18"/>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2750"/>
        <w:gridCol w:w="2106"/>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15" w:type="dxa"/>
            <w:gridSpan w:val="2"/>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项目</w:t>
            </w:r>
          </w:p>
        </w:tc>
        <w:tc>
          <w:tcPr>
            <w:tcW w:w="210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数量</w:t>
            </w:r>
          </w:p>
        </w:tc>
        <w:tc>
          <w:tcPr>
            <w:tcW w:w="221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15" w:type="dxa"/>
            <w:gridSpan w:val="2"/>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总数</w:t>
            </w:r>
          </w:p>
        </w:tc>
        <w:tc>
          <w:tcPr>
            <w:tcW w:w="2106" w:type="dxa"/>
            <w:vAlign w:val="center"/>
          </w:tcPr>
          <w:p>
            <w:pPr>
              <w:spacing w:line="360" w:lineRule="auto"/>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cs="Times New Roman Regular"/>
                <w:sz w:val="21"/>
                <w:szCs w:val="21"/>
                <w:lang w:val="en-US" w:eastAsia="zh-CN"/>
              </w:rPr>
              <w:t>10</w:t>
            </w:r>
          </w:p>
        </w:tc>
        <w:tc>
          <w:tcPr>
            <w:tcW w:w="221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restart"/>
            <w:vAlign w:val="center"/>
          </w:tcPr>
          <w:p>
            <w:pPr>
              <w:spacing w:line="360" w:lineRule="auto"/>
              <w:jc w:val="center"/>
              <w:rPr>
                <w:rFonts w:ascii="Times New Roman Regular" w:hAnsi="Times New Roman Regular" w:cs="Times New Roman Regular"/>
                <w:sz w:val="21"/>
                <w:szCs w:val="21"/>
              </w:rPr>
            </w:pPr>
            <w:bookmarkStart w:id="62" w:name="OLE_LINK42"/>
            <w:r>
              <w:rPr>
                <w:rFonts w:ascii="Times New Roman Regular" w:hAnsi="Times New Roman Regular" w:cs="Times New Roman Regular"/>
                <w:sz w:val="21"/>
                <w:szCs w:val="21"/>
              </w:rPr>
              <w:t>职称</w:t>
            </w:r>
            <w:bookmarkEnd w:id="62"/>
          </w:p>
        </w:tc>
        <w:tc>
          <w:tcPr>
            <w:tcW w:w="275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教授</w:t>
            </w:r>
          </w:p>
        </w:tc>
        <w:tc>
          <w:tcPr>
            <w:tcW w:w="210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21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spacing w:line="360" w:lineRule="auto"/>
              <w:jc w:val="center"/>
              <w:rPr>
                <w:rFonts w:ascii="Times New Roman Regular" w:hAnsi="Times New Roman Regular" w:cs="Times New Roman Regular"/>
                <w:sz w:val="21"/>
                <w:szCs w:val="21"/>
              </w:rPr>
            </w:pPr>
          </w:p>
        </w:tc>
        <w:tc>
          <w:tcPr>
            <w:tcW w:w="275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副教授</w:t>
            </w:r>
          </w:p>
        </w:tc>
        <w:tc>
          <w:tcPr>
            <w:tcW w:w="210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21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bookmarkStart w:id="63" w:name="OLE_LINK43"/>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spacing w:line="360" w:lineRule="auto"/>
              <w:jc w:val="center"/>
              <w:rPr>
                <w:rFonts w:ascii="Times New Roman Regular" w:hAnsi="Times New Roman Regular" w:cs="Times New Roman Regular"/>
                <w:sz w:val="21"/>
                <w:szCs w:val="21"/>
              </w:rPr>
            </w:pPr>
          </w:p>
        </w:tc>
        <w:tc>
          <w:tcPr>
            <w:tcW w:w="275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讲师</w:t>
            </w:r>
          </w:p>
        </w:tc>
        <w:tc>
          <w:tcPr>
            <w:tcW w:w="2106" w:type="dxa"/>
            <w:vAlign w:val="center"/>
          </w:tcPr>
          <w:p>
            <w:pPr>
              <w:spacing w:line="360" w:lineRule="auto"/>
              <w:jc w:val="center"/>
              <w:rPr>
                <w:rFonts w:hint="eastAsia" w:ascii="Times New Roman Regular" w:hAnsi="Times New Roman Regular" w:eastAsia="宋体" w:cs="Times New Roman Regular"/>
                <w:sz w:val="21"/>
                <w:szCs w:val="21"/>
                <w:lang w:eastAsia="zh-CN"/>
              </w:rPr>
            </w:pPr>
            <w:r>
              <w:rPr>
                <w:rFonts w:hint="eastAsia" w:ascii="Times New Roman Regular" w:hAnsi="Times New Roman Regular" w:cs="Times New Roman Regular"/>
                <w:sz w:val="21"/>
                <w:szCs w:val="21"/>
                <w:lang w:val="en-US" w:eastAsia="zh-CN"/>
              </w:rPr>
              <w:t>1</w:t>
            </w:r>
          </w:p>
        </w:tc>
        <w:tc>
          <w:tcPr>
            <w:tcW w:w="2212" w:type="dxa"/>
            <w:vAlign w:val="center"/>
          </w:tcPr>
          <w:p>
            <w:pPr>
              <w:spacing w:line="360" w:lineRule="auto"/>
              <w:jc w:val="center"/>
              <w:rPr>
                <w:rFonts w:hint="default" w:ascii="Times New Roman Regular" w:hAnsi="Times New Roman Regular" w:eastAsia="宋体" w:cs="Times New Roman Regular"/>
                <w:sz w:val="21"/>
                <w:szCs w:val="21"/>
                <w:lang w:val="en-US" w:eastAsia="zh-CN"/>
              </w:rPr>
            </w:pPr>
            <w:bookmarkStart w:id="64" w:name="OLE_LINK44"/>
            <w:bookmarkEnd w:id="64"/>
            <w:r>
              <w:rPr>
                <w:rFonts w:hint="eastAsia" w:ascii="Times New Roman Regular" w:hAnsi="Times New Roman Regular" w:cs="Times New Roman Regular"/>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spacing w:line="360" w:lineRule="auto"/>
              <w:jc w:val="center"/>
              <w:rPr>
                <w:rFonts w:ascii="Times New Roman Regular" w:hAnsi="Times New Roman Regular" w:cs="Times New Roman Regular"/>
                <w:sz w:val="21"/>
                <w:szCs w:val="21"/>
              </w:rPr>
            </w:pPr>
          </w:p>
        </w:tc>
        <w:tc>
          <w:tcPr>
            <w:tcW w:w="275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助教</w:t>
            </w:r>
          </w:p>
        </w:tc>
        <w:tc>
          <w:tcPr>
            <w:tcW w:w="210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21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spacing w:line="360" w:lineRule="auto"/>
              <w:jc w:val="center"/>
              <w:rPr>
                <w:rFonts w:ascii="Times New Roman Regular" w:hAnsi="Times New Roman Regular" w:cs="Times New Roman Regular"/>
                <w:sz w:val="21"/>
                <w:szCs w:val="21"/>
              </w:rPr>
            </w:pPr>
          </w:p>
        </w:tc>
        <w:tc>
          <w:tcPr>
            <w:tcW w:w="275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其他正高级</w:t>
            </w:r>
          </w:p>
        </w:tc>
        <w:tc>
          <w:tcPr>
            <w:tcW w:w="2106" w:type="dxa"/>
            <w:vAlign w:val="center"/>
          </w:tcPr>
          <w:p>
            <w:pPr>
              <w:spacing w:line="360" w:lineRule="auto"/>
              <w:jc w:val="center"/>
              <w:rPr>
                <w:rFonts w:hint="eastAsia" w:ascii="Times New Roman Regular" w:hAnsi="Times New Roman Regular" w:eastAsia="宋体" w:cs="Times New Roman Regular"/>
                <w:sz w:val="21"/>
                <w:szCs w:val="21"/>
                <w:lang w:eastAsia="zh-CN"/>
              </w:rPr>
            </w:pPr>
            <w:r>
              <w:rPr>
                <w:rFonts w:hint="eastAsia" w:ascii="Times New Roman Regular" w:hAnsi="Times New Roman Regular" w:cs="Times New Roman Regular"/>
                <w:sz w:val="21"/>
                <w:szCs w:val="21"/>
                <w:lang w:val="en-US" w:eastAsia="zh-CN"/>
              </w:rPr>
              <w:t>1</w:t>
            </w:r>
          </w:p>
        </w:tc>
        <w:tc>
          <w:tcPr>
            <w:tcW w:w="2212" w:type="dxa"/>
            <w:vAlign w:val="center"/>
          </w:tcPr>
          <w:p>
            <w:pPr>
              <w:spacing w:line="360" w:lineRule="auto"/>
              <w:jc w:val="center"/>
              <w:rPr>
                <w:rFonts w:ascii="Times New Roman Regular" w:hAnsi="Times New Roman Regular" w:cs="Times New Roman Regular"/>
                <w:sz w:val="21"/>
                <w:szCs w:val="21"/>
              </w:rPr>
            </w:pPr>
            <w:r>
              <w:rPr>
                <w:rFonts w:hint="eastAsia" w:ascii="Times New Roman Regular" w:hAnsi="Times New Roman Regular" w:cs="Times New Roman Regular"/>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spacing w:line="360" w:lineRule="auto"/>
              <w:jc w:val="center"/>
              <w:rPr>
                <w:rFonts w:ascii="Times New Roman Regular" w:hAnsi="Times New Roman Regular" w:cs="Times New Roman Regular"/>
                <w:sz w:val="21"/>
                <w:szCs w:val="21"/>
              </w:rPr>
            </w:pPr>
          </w:p>
        </w:tc>
        <w:tc>
          <w:tcPr>
            <w:tcW w:w="275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其他副高级</w:t>
            </w:r>
          </w:p>
        </w:tc>
        <w:tc>
          <w:tcPr>
            <w:tcW w:w="2106" w:type="dxa"/>
            <w:vAlign w:val="center"/>
          </w:tcPr>
          <w:p>
            <w:pPr>
              <w:spacing w:line="360" w:lineRule="auto"/>
              <w:jc w:val="center"/>
              <w:rPr>
                <w:rFonts w:hint="eastAsia" w:ascii="Times New Roman Regular" w:hAnsi="Times New Roman Regular" w:eastAsia="宋体" w:cs="Times New Roman Regular"/>
                <w:sz w:val="21"/>
                <w:szCs w:val="21"/>
                <w:lang w:eastAsia="zh-CN"/>
              </w:rPr>
            </w:pPr>
            <w:r>
              <w:rPr>
                <w:rFonts w:hint="eastAsia" w:ascii="Times New Roman Regular" w:hAnsi="Times New Roman Regular" w:cs="Times New Roman Regular"/>
                <w:sz w:val="21"/>
                <w:szCs w:val="21"/>
                <w:lang w:val="en-US" w:eastAsia="zh-CN"/>
              </w:rPr>
              <w:t>1</w:t>
            </w:r>
          </w:p>
        </w:tc>
        <w:tc>
          <w:tcPr>
            <w:tcW w:w="2212" w:type="dxa"/>
            <w:vAlign w:val="center"/>
          </w:tcPr>
          <w:p>
            <w:pPr>
              <w:spacing w:line="360" w:lineRule="auto"/>
              <w:jc w:val="center"/>
              <w:rPr>
                <w:rFonts w:ascii="Times New Roman Regular" w:hAnsi="Times New Roman Regular" w:cs="Times New Roman Regular"/>
                <w:sz w:val="21"/>
                <w:szCs w:val="21"/>
              </w:rPr>
            </w:pPr>
            <w:r>
              <w:rPr>
                <w:rFonts w:hint="eastAsia" w:ascii="Times New Roman Regular" w:hAnsi="Times New Roman Regular" w:cs="Times New Roman Regular"/>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spacing w:line="360" w:lineRule="auto"/>
              <w:jc w:val="center"/>
              <w:rPr>
                <w:rFonts w:ascii="Times New Roman Regular" w:hAnsi="Times New Roman Regular" w:cs="Times New Roman Regular"/>
                <w:sz w:val="21"/>
                <w:szCs w:val="21"/>
              </w:rPr>
            </w:pPr>
          </w:p>
        </w:tc>
        <w:tc>
          <w:tcPr>
            <w:tcW w:w="275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其他中级</w:t>
            </w:r>
          </w:p>
        </w:tc>
        <w:tc>
          <w:tcPr>
            <w:tcW w:w="2106" w:type="dxa"/>
            <w:vAlign w:val="center"/>
          </w:tcPr>
          <w:p>
            <w:pPr>
              <w:spacing w:line="360" w:lineRule="auto"/>
              <w:jc w:val="center"/>
              <w:rPr>
                <w:rFonts w:hint="eastAsia" w:ascii="Times New Roman Regular" w:hAnsi="Times New Roman Regular" w:eastAsia="宋体" w:cs="Times New Roman Regular"/>
                <w:sz w:val="21"/>
                <w:szCs w:val="21"/>
                <w:lang w:eastAsia="zh-CN"/>
              </w:rPr>
            </w:pPr>
            <w:r>
              <w:rPr>
                <w:rFonts w:hint="eastAsia" w:ascii="Times New Roman Regular" w:hAnsi="Times New Roman Regular" w:cs="Times New Roman Regular"/>
                <w:sz w:val="21"/>
                <w:szCs w:val="21"/>
                <w:lang w:val="en-US" w:eastAsia="zh-CN"/>
              </w:rPr>
              <w:t>1</w:t>
            </w:r>
          </w:p>
        </w:tc>
        <w:tc>
          <w:tcPr>
            <w:tcW w:w="2212" w:type="dxa"/>
            <w:vAlign w:val="center"/>
          </w:tcPr>
          <w:p>
            <w:pPr>
              <w:spacing w:line="360" w:lineRule="auto"/>
              <w:jc w:val="center"/>
              <w:rPr>
                <w:rFonts w:ascii="Times New Roman Regular" w:hAnsi="Times New Roman Regular" w:cs="Times New Roman Regular"/>
                <w:sz w:val="21"/>
                <w:szCs w:val="21"/>
              </w:rPr>
            </w:pPr>
            <w:r>
              <w:rPr>
                <w:rFonts w:hint="eastAsia" w:ascii="Times New Roman Regular" w:hAnsi="Times New Roman Regular" w:cs="Times New Roman Regular"/>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spacing w:line="360" w:lineRule="auto"/>
              <w:jc w:val="center"/>
              <w:rPr>
                <w:rFonts w:ascii="Times New Roman Regular" w:hAnsi="Times New Roman Regular" w:cs="Times New Roman Regular"/>
                <w:sz w:val="21"/>
                <w:szCs w:val="21"/>
              </w:rPr>
            </w:pPr>
          </w:p>
        </w:tc>
        <w:tc>
          <w:tcPr>
            <w:tcW w:w="275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其他初级</w:t>
            </w:r>
          </w:p>
        </w:tc>
        <w:tc>
          <w:tcPr>
            <w:tcW w:w="210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21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spacing w:line="360" w:lineRule="auto"/>
              <w:jc w:val="center"/>
              <w:rPr>
                <w:rFonts w:ascii="Times New Roman Regular" w:hAnsi="Times New Roman Regular" w:cs="Times New Roman Regular"/>
                <w:sz w:val="21"/>
                <w:szCs w:val="21"/>
              </w:rPr>
            </w:pPr>
          </w:p>
        </w:tc>
        <w:tc>
          <w:tcPr>
            <w:tcW w:w="275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未评级</w:t>
            </w:r>
          </w:p>
        </w:tc>
        <w:tc>
          <w:tcPr>
            <w:tcW w:w="2106" w:type="dxa"/>
            <w:vAlign w:val="center"/>
          </w:tcPr>
          <w:p>
            <w:pPr>
              <w:spacing w:line="360" w:lineRule="auto"/>
              <w:jc w:val="center"/>
              <w:rPr>
                <w:rFonts w:hint="eastAsia" w:ascii="Times New Roman Regular" w:hAnsi="Times New Roman Regular" w:eastAsia="宋体" w:cs="Times New Roman Regular"/>
                <w:sz w:val="21"/>
                <w:szCs w:val="21"/>
                <w:lang w:eastAsia="zh-CN"/>
              </w:rPr>
            </w:pPr>
            <w:r>
              <w:rPr>
                <w:rFonts w:hint="eastAsia" w:ascii="Times New Roman Regular" w:hAnsi="Times New Roman Regular" w:cs="Times New Roman Regular"/>
                <w:sz w:val="21"/>
                <w:szCs w:val="21"/>
                <w:lang w:val="en-US" w:eastAsia="zh-CN"/>
              </w:rPr>
              <w:t>6</w:t>
            </w:r>
          </w:p>
        </w:tc>
        <w:tc>
          <w:tcPr>
            <w:tcW w:w="2212" w:type="dxa"/>
            <w:vAlign w:val="center"/>
          </w:tcPr>
          <w:p>
            <w:pPr>
              <w:spacing w:line="360" w:lineRule="auto"/>
              <w:jc w:val="center"/>
              <w:rPr>
                <w:rFonts w:ascii="Times New Roman Regular" w:hAnsi="Times New Roman Regular" w:cs="Times New Roman Regular"/>
                <w:sz w:val="21"/>
                <w:szCs w:val="21"/>
              </w:rPr>
            </w:pPr>
            <w:r>
              <w:rPr>
                <w:rFonts w:hint="eastAsia" w:ascii="Times New Roman Regular" w:hAnsi="Times New Roman Regular" w:cs="Times New Roman Regular"/>
                <w:sz w:val="21"/>
                <w:szCs w:val="21"/>
                <w:lang w:val="en-US" w:eastAsia="zh-CN"/>
              </w:rPr>
              <w:t>6</w:t>
            </w:r>
            <w:bookmarkStart w:id="104" w:name="_GoBack"/>
            <w:bookmarkEnd w:id="104"/>
            <w:r>
              <w:rPr>
                <w:rFonts w:hint="eastAsia" w:ascii="Times New Roman Regular" w:hAnsi="Times New Roman Regular" w:cs="Times New Roman Regular"/>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restart"/>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最高学位</w:t>
            </w:r>
          </w:p>
        </w:tc>
        <w:tc>
          <w:tcPr>
            <w:tcW w:w="275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2"/>
              </w:rPr>
              <w:t>博士</w:t>
            </w:r>
          </w:p>
        </w:tc>
        <w:tc>
          <w:tcPr>
            <w:tcW w:w="2106" w:type="dxa"/>
            <w:vAlign w:val="center"/>
          </w:tcPr>
          <w:p>
            <w:pPr>
              <w:spacing w:line="360" w:lineRule="auto"/>
              <w:jc w:val="center"/>
              <w:rPr>
                <w:rFonts w:hint="eastAsia" w:ascii="Times New Roman Regular" w:hAnsi="Times New Roman Regular" w:eastAsia="宋体" w:cs="Times New Roman Regular"/>
                <w:sz w:val="21"/>
                <w:szCs w:val="21"/>
                <w:lang w:eastAsia="zh-CN"/>
              </w:rPr>
            </w:pPr>
            <w:r>
              <w:rPr>
                <w:rFonts w:hint="eastAsia" w:ascii="Times New Roman Regular" w:hAnsi="Times New Roman Regular" w:cs="Times New Roman Regular"/>
                <w:sz w:val="21"/>
                <w:szCs w:val="21"/>
                <w:lang w:val="en-US" w:eastAsia="zh-CN"/>
              </w:rPr>
              <w:t>1</w:t>
            </w:r>
          </w:p>
        </w:tc>
        <w:tc>
          <w:tcPr>
            <w:tcW w:w="2212" w:type="dxa"/>
            <w:vAlign w:val="center"/>
          </w:tcPr>
          <w:p>
            <w:pPr>
              <w:spacing w:line="360" w:lineRule="auto"/>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cs="Times New Roman Regular"/>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spacing w:line="360" w:lineRule="auto"/>
              <w:jc w:val="center"/>
              <w:rPr>
                <w:rFonts w:ascii="Times New Roman Regular" w:hAnsi="Times New Roman Regular" w:cs="Times New Roman Regular"/>
                <w:sz w:val="21"/>
                <w:szCs w:val="21"/>
              </w:rPr>
            </w:pPr>
          </w:p>
        </w:tc>
        <w:tc>
          <w:tcPr>
            <w:tcW w:w="275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2"/>
              </w:rPr>
              <w:t>硕士</w:t>
            </w:r>
          </w:p>
        </w:tc>
        <w:tc>
          <w:tcPr>
            <w:tcW w:w="2106" w:type="dxa"/>
            <w:vAlign w:val="center"/>
          </w:tcPr>
          <w:p>
            <w:pPr>
              <w:spacing w:line="360" w:lineRule="auto"/>
              <w:jc w:val="center"/>
              <w:rPr>
                <w:rFonts w:hint="eastAsia" w:ascii="Times New Roman Regular" w:hAnsi="Times New Roman Regular" w:eastAsia="宋体" w:cs="Times New Roman Regular"/>
                <w:sz w:val="21"/>
                <w:szCs w:val="21"/>
                <w:lang w:eastAsia="zh-CN"/>
              </w:rPr>
            </w:pPr>
            <w:r>
              <w:rPr>
                <w:rFonts w:hint="eastAsia" w:ascii="Times New Roman Regular" w:hAnsi="Times New Roman Regular" w:cs="Times New Roman Regular"/>
                <w:sz w:val="21"/>
                <w:szCs w:val="21"/>
                <w:lang w:val="en-US" w:eastAsia="zh-CN"/>
              </w:rPr>
              <w:t>6</w:t>
            </w:r>
          </w:p>
        </w:tc>
        <w:tc>
          <w:tcPr>
            <w:tcW w:w="2212" w:type="dxa"/>
            <w:vAlign w:val="center"/>
          </w:tcPr>
          <w:p>
            <w:pPr>
              <w:spacing w:line="360" w:lineRule="auto"/>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cs="Times New Roman Regular"/>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spacing w:line="360" w:lineRule="auto"/>
              <w:jc w:val="center"/>
              <w:rPr>
                <w:rFonts w:ascii="Times New Roman Regular" w:hAnsi="Times New Roman Regular" w:cs="Times New Roman Regular"/>
                <w:sz w:val="21"/>
                <w:szCs w:val="21"/>
              </w:rPr>
            </w:pPr>
          </w:p>
        </w:tc>
        <w:tc>
          <w:tcPr>
            <w:tcW w:w="275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2"/>
              </w:rPr>
              <w:t>学士</w:t>
            </w:r>
          </w:p>
        </w:tc>
        <w:tc>
          <w:tcPr>
            <w:tcW w:w="2106" w:type="dxa"/>
            <w:vAlign w:val="center"/>
          </w:tcPr>
          <w:p>
            <w:pPr>
              <w:spacing w:line="360" w:lineRule="auto"/>
              <w:jc w:val="center"/>
              <w:rPr>
                <w:rFonts w:hint="eastAsia" w:ascii="Times New Roman Regular" w:hAnsi="Times New Roman Regular" w:eastAsia="宋体" w:cs="Times New Roman Regular"/>
                <w:sz w:val="21"/>
                <w:szCs w:val="21"/>
                <w:lang w:eastAsia="zh-CN"/>
              </w:rPr>
            </w:pPr>
            <w:r>
              <w:rPr>
                <w:rFonts w:hint="eastAsia" w:ascii="Times New Roman Regular" w:hAnsi="Times New Roman Regular" w:cs="Times New Roman Regular"/>
                <w:sz w:val="21"/>
                <w:szCs w:val="21"/>
                <w:lang w:val="en-US" w:eastAsia="zh-CN"/>
              </w:rPr>
              <w:t>3</w:t>
            </w:r>
          </w:p>
        </w:tc>
        <w:tc>
          <w:tcPr>
            <w:tcW w:w="2212" w:type="dxa"/>
            <w:vAlign w:val="center"/>
          </w:tcPr>
          <w:p>
            <w:pPr>
              <w:spacing w:line="360" w:lineRule="auto"/>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cs="Times New Roman Regular"/>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spacing w:line="360" w:lineRule="auto"/>
              <w:jc w:val="center"/>
              <w:rPr>
                <w:rFonts w:ascii="Times New Roman Regular" w:hAnsi="Times New Roman Regular" w:cs="Times New Roman Regular"/>
                <w:sz w:val="21"/>
                <w:szCs w:val="21"/>
              </w:rPr>
            </w:pPr>
          </w:p>
        </w:tc>
        <w:tc>
          <w:tcPr>
            <w:tcW w:w="275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2"/>
              </w:rPr>
              <w:t>无学位</w:t>
            </w:r>
          </w:p>
        </w:tc>
        <w:tc>
          <w:tcPr>
            <w:tcW w:w="2106"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21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bl>
    <w:p>
      <w:pPr>
        <w:spacing w:line="360" w:lineRule="auto"/>
        <w:rPr>
          <w:rFonts w:ascii="Times New Roman Regular" w:hAnsi="Times New Roman Regular" w:cs="Times New Roman Regular"/>
        </w:rPr>
      </w:pPr>
    </w:p>
    <w:p>
      <w:pPr>
        <w:pStyle w:val="4"/>
        <w:spacing w:line="360" w:lineRule="auto"/>
        <w:rPr>
          <w:rFonts w:ascii="Times New Roman Regular" w:hAnsi="Times New Roman Regular" w:eastAsia="宋体" w:cs="Times New Roman Regular"/>
          <w:sz w:val="24"/>
          <w:szCs w:val="24"/>
        </w:rPr>
      </w:pPr>
      <w:bookmarkStart w:id="65" w:name="_Toc1339472725"/>
      <w:r>
        <w:rPr>
          <w:rFonts w:ascii="Times New Roman Regular" w:hAnsi="Times New Roman Regular" w:eastAsia="宋体" w:cs="Times New Roman Regular"/>
          <w:sz w:val="24"/>
          <w:szCs w:val="24"/>
        </w:rPr>
        <w:t>4.3</w:t>
      </w:r>
      <w:bookmarkStart w:id="66" w:name="OLE_LINK45"/>
      <w:r>
        <w:rPr>
          <w:rFonts w:ascii="Times New Roman Regular" w:hAnsi="Times New Roman Regular" w:eastAsia="宋体" w:cs="Times New Roman Regular"/>
          <w:sz w:val="24"/>
          <w:szCs w:val="24"/>
        </w:rPr>
        <w:t>教师教学</w:t>
      </w:r>
      <w:bookmarkEnd w:id="66"/>
      <w:r>
        <w:rPr>
          <w:rFonts w:ascii="Times New Roman Regular" w:hAnsi="Times New Roman Regular" w:eastAsia="宋体" w:cs="Times New Roman Regular"/>
          <w:sz w:val="24"/>
          <w:szCs w:val="24"/>
        </w:rPr>
        <w:t>科研情况</w:t>
      </w:r>
      <w:bookmarkEnd w:id="65"/>
      <w:r>
        <w:rPr>
          <w:rFonts w:ascii="Times New Roman Regular" w:hAnsi="Times New Roman Regular" w:eastAsia="宋体" w:cs="Times New Roman Regular"/>
          <w:sz w:val="24"/>
          <w:szCs w:val="24"/>
        </w:rPr>
        <w:t xml:space="preserve"> </w:t>
      </w:r>
    </w:p>
    <w:p>
      <w:pPr>
        <w:pStyle w:val="5"/>
        <w:spacing w:line="360" w:lineRule="auto"/>
        <w:rPr>
          <w:rFonts w:ascii="Times New Roman Regular" w:hAnsi="Times New Roman Regular" w:eastAsia="宋体" w:cs="Times New Roman Regular"/>
          <w:b w:val="0"/>
          <w:bCs w:val="0"/>
          <w:kern w:val="2"/>
          <w:sz w:val="24"/>
          <w:szCs w:val="24"/>
        </w:rPr>
      </w:pPr>
      <w:r>
        <w:rPr>
          <w:rFonts w:ascii="Times New Roman Regular" w:hAnsi="Times New Roman Regular" w:eastAsia="宋体" w:cs="Times New Roman Regular"/>
          <w:b w:val="0"/>
          <w:bCs w:val="0"/>
          <w:kern w:val="2"/>
          <w:sz w:val="24"/>
          <w:szCs w:val="24"/>
        </w:rPr>
        <w:t>4.3.1教师主持教育教学改革项目情况</w:t>
      </w:r>
    </w:p>
    <w:p>
      <w:pPr>
        <w:spacing w:line="360" w:lineRule="auto"/>
        <w:jc w:val="center"/>
        <w:rPr>
          <w:rFonts w:ascii="Times New Roman Regular" w:hAnsi="Times New Roman Regular" w:cs="Times New Roman Regular"/>
        </w:rPr>
      </w:pPr>
      <w:r>
        <w:rPr>
          <w:rFonts w:ascii="Times New Roman Regular" w:hAnsi="Times New Roman Regular" w:cs="Times New Roman Regular"/>
          <w:kern w:val="2"/>
        </w:rPr>
        <w:t>表4-8 教师主持教育教学改革项目情况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552"/>
        <w:gridCol w:w="1559"/>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类别</w:t>
            </w:r>
          </w:p>
        </w:tc>
        <w:tc>
          <w:tcPr>
            <w:tcW w:w="255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项目数</w:t>
            </w:r>
          </w:p>
        </w:tc>
        <w:tc>
          <w:tcPr>
            <w:tcW w:w="155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经费（万元）</w:t>
            </w:r>
          </w:p>
        </w:tc>
        <w:tc>
          <w:tcPr>
            <w:tcW w:w="234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参与教师数（人次）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2"/>
              </w:rPr>
              <w:t>国家级</w:t>
            </w:r>
          </w:p>
        </w:tc>
        <w:tc>
          <w:tcPr>
            <w:tcW w:w="255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bookmarkStart w:id="67" w:name="OLE_LINK46"/>
            <w:bookmarkEnd w:id="67"/>
          </w:p>
        </w:tc>
        <w:tc>
          <w:tcPr>
            <w:tcW w:w="155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34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2"/>
              </w:rPr>
              <w:t>省部级</w:t>
            </w:r>
          </w:p>
        </w:tc>
        <w:tc>
          <w:tcPr>
            <w:tcW w:w="255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155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34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jc w:val="center"/>
              <w:rPr>
                <w:rFonts w:ascii="Times New Roman Regular" w:hAnsi="Times New Roman Regular" w:cs="Times New Roman Regular"/>
                <w:sz w:val="21"/>
                <w:szCs w:val="22"/>
              </w:rPr>
            </w:pPr>
            <w:r>
              <w:rPr>
                <w:rFonts w:ascii="Times New Roman Regular" w:hAnsi="Times New Roman Regular" w:cs="Times New Roman Regular"/>
                <w:sz w:val="21"/>
                <w:szCs w:val="22"/>
              </w:rPr>
              <w:t>校级</w:t>
            </w:r>
          </w:p>
        </w:tc>
        <w:tc>
          <w:tcPr>
            <w:tcW w:w="255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4</w:t>
            </w:r>
          </w:p>
        </w:tc>
        <w:tc>
          <w:tcPr>
            <w:tcW w:w="155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234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bl>
    <w:p>
      <w:pPr>
        <w:spacing w:line="360" w:lineRule="auto"/>
        <w:rPr>
          <w:rFonts w:ascii="Times New Roman Regular" w:hAnsi="Times New Roman Regular" w:cs="Times New Roman Regular"/>
        </w:rPr>
      </w:pPr>
    </w:p>
    <w:p>
      <w:pPr>
        <w:pStyle w:val="5"/>
        <w:spacing w:line="360" w:lineRule="auto"/>
        <w:rPr>
          <w:rFonts w:ascii="Times New Roman Regular" w:hAnsi="Times New Roman Regular" w:eastAsia="宋体" w:cs="Times New Roman Regular"/>
          <w:b w:val="0"/>
          <w:bCs w:val="0"/>
          <w:kern w:val="2"/>
          <w:sz w:val="24"/>
          <w:szCs w:val="24"/>
        </w:rPr>
      </w:pPr>
      <w:r>
        <w:rPr>
          <w:rFonts w:ascii="Times New Roman Regular" w:hAnsi="Times New Roman Regular" w:eastAsia="宋体" w:cs="Times New Roman Regular"/>
          <w:b w:val="0"/>
          <w:bCs w:val="0"/>
          <w:kern w:val="2"/>
          <w:sz w:val="24"/>
          <w:szCs w:val="24"/>
        </w:rPr>
        <w:t>4.3.2教师主编本专业教材情况</w:t>
      </w:r>
    </w:p>
    <w:p>
      <w:pPr>
        <w:spacing w:line="360" w:lineRule="auto"/>
        <w:jc w:val="center"/>
        <w:rPr>
          <w:rFonts w:ascii="Times New Roman Regular" w:hAnsi="Times New Roman Regular" w:cs="Times New Roman Regular"/>
        </w:rPr>
      </w:pPr>
      <w:r>
        <w:rPr>
          <w:rFonts w:ascii="Times New Roman Regular" w:hAnsi="Times New Roman Regular" w:cs="Times New Roman Regular"/>
          <w:kern w:val="2"/>
        </w:rPr>
        <w:t>表4-9 教师主编本专业教材情况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教师姓名</w:t>
            </w:r>
          </w:p>
        </w:tc>
        <w:tc>
          <w:tcPr>
            <w:tcW w:w="1659" w:type="dxa"/>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教材名称</w:t>
            </w:r>
          </w:p>
        </w:tc>
        <w:tc>
          <w:tcPr>
            <w:tcW w:w="1659" w:type="dxa"/>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ISBN</w:t>
            </w:r>
          </w:p>
        </w:tc>
        <w:tc>
          <w:tcPr>
            <w:tcW w:w="1659" w:type="dxa"/>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出版社</w:t>
            </w:r>
          </w:p>
        </w:tc>
        <w:tc>
          <w:tcPr>
            <w:tcW w:w="1660" w:type="dxa"/>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pStyle w:val="38"/>
              <w:spacing w:after="0" w:line="360" w:lineRule="auto"/>
              <w:jc w:val="center"/>
              <w:rPr>
                <w:rFonts w:ascii="Times New Roman Regular" w:hAnsi="Times New Roman Regular" w:cs="Times New Roman Regular"/>
                <w:sz w:val="21"/>
                <w:szCs w:val="21"/>
              </w:rPr>
            </w:pPr>
            <w:r>
              <w:rPr>
                <w:rFonts w:ascii="Times New Roman Regular" w:hAnsi="Times New Roman Regular" w:cs="Times New Roman Regular"/>
                <w:szCs w:val="21"/>
                <w:lang w:val="en-GB"/>
              </w:rPr>
              <w:t>韩杨</w:t>
            </w:r>
          </w:p>
        </w:tc>
        <w:tc>
          <w:tcPr>
            <w:tcW w:w="1659" w:type="dxa"/>
            <w:vAlign w:val="center"/>
          </w:tcPr>
          <w:p>
            <w:pPr>
              <w:spacing w:before="120" w:line="360" w:lineRule="auto"/>
              <w:jc w:val="center"/>
              <w:rPr>
                <w:rFonts w:ascii="Times New Roman Regular" w:hAnsi="Times New Roman Regular" w:cs="Times New Roman Regular"/>
                <w:szCs w:val="21"/>
                <w:lang w:val="en-GB"/>
              </w:rPr>
            </w:pPr>
            <w:r>
              <w:rPr>
                <w:rFonts w:ascii="Times New Roman Regular" w:hAnsi="Times New Roman Regular" w:cs="Times New Roman Regular"/>
                <w:szCs w:val="21"/>
                <w:lang w:val="en-GB"/>
              </w:rPr>
              <w:t>物流运输管理实务（第三版）</w:t>
            </w:r>
          </w:p>
        </w:tc>
        <w:tc>
          <w:tcPr>
            <w:tcW w:w="165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9787302541493</w:t>
            </w:r>
          </w:p>
        </w:tc>
        <w:tc>
          <w:tcPr>
            <w:tcW w:w="1659" w:type="dxa"/>
            <w:vAlign w:val="center"/>
          </w:tcPr>
          <w:p>
            <w:pPr>
              <w:spacing w:before="120" w:line="360" w:lineRule="auto"/>
              <w:jc w:val="center"/>
              <w:rPr>
                <w:rFonts w:ascii="Times New Roman Regular" w:hAnsi="Times New Roman Regular" w:cs="Times New Roman Regular"/>
                <w:sz w:val="21"/>
                <w:szCs w:val="21"/>
              </w:rPr>
            </w:pPr>
            <w:r>
              <w:rPr>
                <w:rFonts w:ascii="Times New Roman Regular" w:hAnsi="Times New Roman Regular" w:cs="Times New Roman Regular"/>
                <w:szCs w:val="21"/>
                <w:lang w:val="en-GB"/>
              </w:rPr>
              <w:t>清华大学出版社</w:t>
            </w:r>
          </w:p>
        </w:tc>
        <w:tc>
          <w:tcPr>
            <w:tcW w:w="1660" w:type="dxa"/>
            <w:vAlign w:val="center"/>
          </w:tcPr>
          <w:p>
            <w:pPr>
              <w:spacing w:before="120" w:line="360" w:lineRule="auto"/>
              <w:jc w:val="center"/>
              <w:rPr>
                <w:rFonts w:ascii="Times New Roman Regular" w:hAnsi="Times New Roman Regular" w:cs="Times New Roman Regular"/>
                <w:sz w:val="21"/>
                <w:szCs w:val="21"/>
              </w:rPr>
            </w:pPr>
            <w:r>
              <w:rPr>
                <w:rFonts w:ascii="Times New Roman Regular" w:hAnsi="Times New Roman Regular" w:cs="Times New Roman Regular"/>
                <w:szCs w:val="21"/>
                <w:lang w:val="en-GB"/>
              </w:rPr>
              <w:t>2020.7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pStyle w:val="12"/>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lang w:val="en-GB"/>
              </w:rPr>
              <w:t>施丽华</w:t>
            </w:r>
          </w:p>
        </w:tc>
        <w:tc>
          <w:tcPr>
            <w:tcW w:w="1659" w:type="dxa"/>
            <w:vAlign w:val="center"/>
          </w:tcPr>
          <w:p>
            <w:pPr>
              <w:spacing w:before="120" w:line="360" w:lineRule="auto"/>
              <w:jc w:val="center"/>
              <w:rPr>
                <w:rFonts w:ascii="Times New Roman Regular" w:hAnsi="Times New Roman Regular" w:cs="Times New Roman Regular"/>
                <w:szCs w:val="21"/>
                <w:lang w:val="en-GB"/>
              </w:rPr>
            </w:pPr>
            <w:r>
              <w:rPr>
                <w:rFonts w:ascii="Times New Roman Regular" w:hAnsi="Times New Roman Regular" w:cs="Times New Roman Regular"/>
                <w:szCs w:val="21"/>
                <w:lang w:val="en-GB"/>
              </w:rPr>
              <w:t>供应链管理（第三版）</w:t>
            </w:r>
          </w:p>
        </w:tc>
        <w:tc>
          <w:tcPr>
            <w:tcW w:w="165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9787302649403</w:t>
            </w:r>
          </w:p>
        </w:tc>
        <w:tc>
          <w:tcPr>
            <w:tcW w:w="1659" w:type="dxa"/>
            <w:vAlign w:val="center"/>
          </w:tcPr>
          <w:p>
            <w:pPr>
              <w:spacing w:before="120" w:line="360" w:lineRule="auto"/>
              <w:jc w:val="center"/>
              <w:rPr>
                <w:rFonts w:ascii="Times New Roman Regular" w:hAnsi="Times New Roman Regular" w:cs="Times New Roman Regular"/>
                <w:sz w:val="21"/>
                <w:szCs w:val="21"/>
              </w:rPr>
            </w:pPr>
            <w:r>
              <w:rPr>
                <w:rFonts w:ascii="Times New Roman Regular" w:hAnsi="Times New Roman Regular" w:cs="Times New Roman Regular"/>
                <w:szCs w:val="21"/>
                <w:lang w:val="en-GB"/>
              </w:rPr>
              <w:t>清华大学出版社</w:t>
            </w:r>
          </w:p>
        </w:tc>
        <w:tc>
          <w:tcPr>
            <w:tcW w:w="1660" w:type="dxa"/>
            <w:vAlign w:val="center"/>
          </w:tcPr>
          <w:p>
            <w:pPr>
              <w:spacing w:before="120" w:line="360" w:lineRule="auto"/>
              <w:jc w:val="center"/>
              <w:rPr>
                <w:rFonts w:ascii="Times New Roman Regular" w:hAnsi="Times New Roman Regular" w:cs="Times New Roman Regular"/>
                <w:sz w:val="21"/>
                <w:szCs w:val="21"/>
              </w:rPr>
            </w:pPr>
            <w:r>
              <w:rPr>
                <w:rFonts w:ascii="Times New Roman Regular" w:hAnsi="Times New Roman Regular" w:cs="Times New Roman Regular"/>
                <w:szCs w:val="21"/>
                <w:lang w:val="en-GB"/>
              </w:rPr>
              <w:t>2023.6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pStyle w:val="38"/>
              <w:spacing w:after="0" w:line="360" w:lineRule="auto"/>
              <w:jc w:val="center"/>
              <w:rPr>
                <w:rFonts w:ascii="Times New Roman Regular" w:hAnsi="Times New Roman Regular" w:cs="Times New Roman Regular"/>
                <w:sz w:val="21"/>
                <w:szCs w:val="21"/>
              </w:rPr>
            </w:pPr>
            <w:r>
              <w:rPr>
                <w:rFonts w:ascii="Times New Roman Regular" w:hAnsi="Times New Roman Regular" w:cs="Times New Roman Regular"/>
                <w:lang w:val="en-GB"/>
              </w:rPr>
              <w:t>宋娟娟</w:t>
            </w:r>
          </w:p>
        </w:tc>
        <w:tc>
          <w:tcPr>
            <w:tcW w:w="1659" w:type="dxa"/>
            <w:vAlign w:val="center"/>
          </w:tcPr>
          <w:p>
            <w:pPr>
              <w:spacing w:before="120" w:line="360" w:lineRule="auto"/>
              <w:jc w:val="center"/>
              <w:rPr>
                <w:rFonts w:ascii="Times New Roman Regular" w:hAnsi="Times New Roman Regular" w:cs="Times New Roman Regular"/>
                <w:lang w:val="en-GB"/>
              </w:rPr>
            </w:pPr>
            <w:r>
              <w:rPr>
                <w:rFonts w:ascii="Times New Roman Regular" w:hAnsi="Times New Roman Regular" w:cs="Times New Roman Regular"/>
                <w:lang w:val="en-GB"/>
              </w:rPr>
              <w:t>冷链物流管理概论</w:t>
            </w:r>
          </w:p>
        </w:tc>
        <w:tc>
          <w:tcPr>
            <w:tcW w:w="1659" w:type="dxa"/>
            <w:vAlign w:val="center"/>
          </w:tcPr>
          <w:p>
            <w:pPr>
              <w:spacing w:line="360" w:lineRule="auto"/>
              <w:jc w:val="center"/>
              <w:rPr>
                <w:rFonts w:ascii="Times New Roman Regular" w:hAnsi="Times New Roman Regular" w:cs="Times New Roman Regular"/>
                <w:sz w:val="21"/>
                <w:szCs w:val="21"/>
              </w:rPr>
            </w:pPr>
            <w:r>
              <w:rPr>
                <w:rFonts w:hint="eastAsia" w:ascii="Times New Roman Regular" w:hAnsi="Times New Roman Regular" w:cs="Times New Roman Regular"/>
                <w:sz w:val="21"/>
                <w:szCs w:val="21"/>
              </w:rPr>
              <w:t>9787302645726</w:t>
            </w:r>
          </w:p>
        </w:tc>
        <w:tc>
          <w:tcPr>
            <w:tcW w:w="1659" w:type="dxa"/>
          </w:tcPr>
          <w:p>
            <w:pPr>
              <w:pStyle w:val="38"/>
              <w:spacing w:after="0" w:line="360" w:lineRule="auto"/>
              <w:jc w:val="center"/>
              <w:rPr>
                <w:rFonts w:ascii="Times New Roman Regular" w:hAnsi="Times New Roman Regular" w:cs="Times New Roman Regular"/>
                <w:sz w:val="21"/>
                <w:szCs w:val="21"/>
              </w:rPr>
            </w:pPr>
            <w:r>
              <w:rPr>
                <w:rFonts w:ascii="Times New Roman Regular" w:hAnsi="Times New Roman Regular" w:cs="Times New Roman Regular"/>
              </w:rPr>
              <w:t>清华大学出版社</w:t>
            </w:r>
          </w:p>
        </w:tc>
        <w:tc>
          <w:tcPr>
            <w:tcW w:w="1660" w:type="dxa"/>
            <w:vAlign w:val="center"/>
          </w:tcPr>
          <w:p>
            <w:pPr>
              <w:spacing w:before="120" w:line="360" w:lineRule="auto"/>
              <w:jc w:val="center"/>
              <w:rPr>
                <w:rFonts w:ascii="Times New Roman Regular" w:hAnsi="Times New Roman Regular" w:cs="Times New Roman Regular"/>
                <w:sz w:val="21"/>
                <w:szCs w:val="21"/>
              </w:rPr>
            </w:pPr>
            <w:r>
              <w:rPr>
                <w:rFonts w:ascii="Times New Roman Regular" w:hAnsi="Times New Roman Regular" w:cs="Times New Roman Regular"/>
              </w:rPr>
              <w:t>2023.6</w:t>
            </w:r>
          </w:p>
        </w:tc>
      </w:tr>
    </w:tbl>
    <w:p>
      <w:pPr>
        <w:spacing w:line="360" w:lineRule="auto"/>
        <w:rPr>
          <w:rFonts w:ascii="Times New Roman Regular" w:hAnsi="Times New Roman Regular" w:cs="Times New Roman Regular"/>
          <w:sz w:val="18"/>
          <w:szCs w:val="18"/>
        </w:rPr>
      </w:pPr>
    </w:p>
    <w:p>
      <w:pPr>
        <w:pStyle w:val="3"/>
        <w:pageBreakBefore/>
        <w:spacing w:after="120" w:line="360" w:lineRule="auto"/>
        <w:jc w:val="left"/>
        <w:rPr>
          <w:rFonts w:ascii="Times New Roman Regular" w:hAnsi="Times New Roman Regular" w:cs="Times New Roman Regular"/>
          <w:sz w:val="28"/>
          <w:szCs w:val="28"/>
        </w:rPr>
      </w:pPr>
      <w:bookmarkStart w:id="68" w:name="_Toc447017574"/>
      <w:r>
        <w:rPr>
          <w:rFonts w:ascii="Times New Roman Regular" w:hAnsi="Times New Roman Regular" w:cs="Times New Roman Regular"/>
          <w:sz w:val="28"/>
          <w:szCs w:val="28"/>
        </w:rPr>
        <w:t>5.支持条件</w:t>
      </w:r>
      <w:bookmarkEnd w:id="68"/>
      <w:r>
        <w:rPr>
          <w:rFonts w:ascii="Times New Roman Regular" w:hAnsi="Times New Roman Regular" w:cs="Times New Roman Regular"/>
          <w:sz w:val="28"/>
          <w:szCs w:val="28"/>
        </w:rPr>
        <w:t xml:space="preserve"> </w:t>
      </w:r>
    </w:p>
    <w:p>
      <w:pPr>
        <w:pStyle w:val="4"/>
        <w:spacing w:line="360" w:lineRule="auto"/>
        <w:rPr>
          <w:rFonts w:ascii="Times New Roman Regular" w:hAnsi="Times New Roman Regular" w:eastAsia="宋体" w:cs="Times New Roman Regular"/>
          <w:sz w:val="24"/>
          <w:szCs w:val="24"/>
        </w:rPr>
      </w:pPr>
      <w:bookmarkStart w:id="69" w:name="_Toc1126569012"/>
      <w:r>
        <w:rPr>
          <w:rFonts w:ascii="Times New Roman Regular" w:hAnsi="Times New Roman Regular" w:eastAsia="宋体" w:cs="Times New Roman Regular"/>
          <w:sz w:val="24"/>
          <w:szCs w:val="24"/>
        </w:rPr>
        <w:t>5.1学校生均教学经费情况</w:t>
      </w:r>
      <w:bookmarkEnd w:id="69"/>
    </w:p>
    <w:p>
      <w:pPr>
        <w:spacing w:line="360" w:lineRule="auto"/>
        <w:jc w:val="center"/>
        <w:rPr>
          <w:rFonts w:ascii="Times New Roman Regular" w:hAnsi="Times New Roman Regular" w:cs="Times New Roman Regular"/>
        </w:rPr>
      </w:pPr>
      <w:r>
        <w:rPr>
          <w:rFonts w:ascii="Times New Roman Regular" w:hAnsi="Times New Roman Regular" w:cs="Times New Roman Regular"/>
        </w:rPr>
        <w:t>表5-1 专业生均教学经费情况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5"/>
        <w:gridCol w:w="4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项目</w:t>
            </w:r>
          </w:p>
        </w:tc>
        <w:tc>
          <w:tcPr>
            <w:tcW w:w="473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经费（元）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生均教学日常运行支出</w:t>
            </w:r>
          </w:p>
        </w:tc>
        <w:tc>
          <w:tcPr>
            <w:tcW w:w="473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5068.5</w:t>
            </w:r>
            <w:bookmarkStart w:id="70" w:name="OLE_LINK47"/>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生均实验经费支出</w:t>
            </w:r>
          </w:p>
        </w:tc>
        <w:tc>
          <w:tcPr>
            <w:tcW w:w="473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1017.74</w:t>
            </w:r>
            <w:bookmarkStart w:id="71" w:name="OLE_LINK48"/>
            <w:bookmark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生均实习经费支出</w:t>
            </w:r>
          </w:p>
        </w:tc>
        <w:tc>
          <w:tcPr>
            <w:tcW w:w="473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410.89</w:t>
            </w:r>
          </w:p>
        </w:tc>
      </w:tr>
    </w:tbl>
    <w:p>
      <w:pPr>
        <w:spacing w:line="360" w:lineRule="auto"/>
        <w:rPr>
          <w:rFonts w:ascii="Times New Roman Regular" w:hAnsi="Times New Roman Regular" w:cs="Times New Roman Regular"/>
        </w:rPr>
      </w:pPr>
    </w:p>
    <w:p>
      <w:pPr>
        <w:pStyle w:val="4"/>
        <w:spacing w:line="360" w:lineRule="auto"/>
        <w:rPr>
          <w:rFonts w:ascii="Times New Roman Regular" w:hAnsi="Times New Roman Regular" w:cs="Times New Roman Regular"/>
        </w:rPr>
      </w:pPr>
      <w:bookmarkStart w:id="72" w:name="_Toc2029552732"/>
      <w:r>
        <w:rPr>
          <w:rFonts w:ascii="Times New Roman Regular" w:hAnsi="Times New Roman Regular" w:eastAsia="宋体" w:cs="Times New Roman Regular"/>
          <w:sz w:val="24"/>
          <w:szCs w:val="24"/>
        </w:rPr>
        <w:t>5.2支撑专业实验教学校内场所情况</w:t>
      </w:r>
      <w:bookmarkEnd w:id="72"/>
      <w:r>
        <w:rPr>
          <w:rFonts w:ascii="Times New Roman Regular" w:hAnsi="Times New Roman Regular" w:cs="Times New Roman Regular"/>
        </w:rPr>
        <w:t xml:space="preserve"> </w:t>
      </w:r>
    </w:p>
    <w:p>
      <w:pPr>
        <w:tabs>
          <w:tab w:val="left" w:pos="8280"/>
        </w:tabs>
        <w:adjustRightInd w:val="0"/>
        <w:snapToGrid w:val="0"/>
        <w:spacing w:line="360" w:lineRule="auto"/>
        <w:ind w:right="28" w:firstLine="482"/>
        <w:rPr>
          <w:rFonts w:ascii="Times New Roman Regular" w:hAnsi="Times New Roman Regular" w:cs="Times New Roman Regular"/>
          <w:sz w:val="21"/>
          <w:szCs w:val="21"/>
        </w:rPr>
      </w:pPr>
      <w:r>
        <w:rPr>
          <w:rFonts w:ascii="Times New Roman Regular" w:hAnsi="Times New Roman Regular" w:cs="Times New Roman Regular"/>
          <w:sz w:val="21"/>
          <w:szCs w:val="21"/>
        </w:rPr>
        <w:t>目前共购置专业期刊28种，专业图书2000余册，电子期刊2万余册，引进专业数据库26个。建立了联机检索系统，构成了网上信息资源服务体系。专业图书和期刊（包括电子资料）数量能满足专业教学要求，电子资料使用方便。</w:t>
      </w:r>
    </w:p>
    <w:p>
      <w:pPr>
        <w:tabs>
          <w:tab w:val="left" w:pos="8280"/>
        </w:tabs>
        <w:adjustRightInd w:val="0"/>
        <w:snapToGrid w:val="0"/>
        <w:spacing w:line="360" w:lineRule="auto"/>
        <w:ind w:right="28" w:firstLine="482"/>
        <w:rPr>
          <w:rFonts w:ascii="Times New Roman Regular" w:hAnsi="Times New Roman Regular" w:cs="Times New Roman Regular"/>
          <w:sz w:val="21"/>
          <w:szCs w:val="21"/>
        </w:rPr>
      </w:pPr>
      <w:r>
        <w:rPr>
          <w:rFonts w:ascii="Times New Roman Regular" w:hAnsi="Times New Roman Regular" w:cs="Times New Roman Regular"/>
          <w:sz w:val="21"/>
          <w:szCs w:val="21"/>
        </w:rPr>
        <w:t>图书馆总建筑面积为37988平方米，实行全架借阅和计算机管理，共有8个借阅合一的专业借阅室及拥有258座的多功能电子阅览室及视听室，馆内设有学术报告厅、会议室以及16个教师研究室。图书馆和阅览室的服务能满足师生需求，周末和晚上图书馆、阅览室均正常开放。</w:t>
      </w:r>
    </w:p>
    <w:p>
      <w:pPr>
        <w:adjustRightInd w:val="0"/>
        <w:snapToGrid w:val="0"/>
        <w:spacing w:line="360" w:lineRule="auto"/>
        <w:contextualSpacing/>
        <w:jc w:val="center"/>
        <w:rPr>
          <w:rFonts w:ascii="Times New Roman Regular" w:hAnsi="Times New Roman Regular" w:cs="Times New Roman Regular"/>
          <w:color w:val="333333"/>
          <w:sz w:val="21"/>
          <w:szCs w:val="21"/>
        </w:rPr>
      </w:pPr>
      <w:r>
        <w:rPr>
          <w:rFonts w:ascii="Times New Roman Regular" w:hAnsi="Times New Roman Regular" w:cs="Times New Roman Regular"/>
          <w:color w:val="333333"/>
          <w:sz w:val="21"/>
          <w:szCs w:val="21"/>
        </w:rPr>
        <w:t>表5-2 本专业相关的参考书情况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134"/>
        <w:gridCol w:w="3397"/>
        <w:gridCol w:w="1134"/>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7" w:hRule="atLeast"/>
          <w:jc w:val="center"/>
        </w:trPr>
        <w:tc>
          <w:tcPr>
            <w:tcW w:w="1134" w:type="dxa"/>
            <w:shd w:val="clear" w:color="auto" w:fill="FFFFFF" w:themeFill="background1"/>
            <w:vAlign w:val="center"/>
          </w:tcPr>
          <w:p>
            <w:pPr>
              <w:tabs>
                <w:tab w:val="left" w:pos="540"/>
              </w:tabs>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序号</w:t>
            </w:r>
          </w:p>
        </w:tc>
        <w:tc>
          <w:tcPr>
            <w:tcW w:w="3397" w:type="dxa"/>
            <w:shd w:val="clear" w:color="auto" w:fill="FFFFFF" w:themeFill="background1"/>
            <w:vAlign w:val="center"/>
          </w:tcPr>
          <w:p>
            <w:pPr>
              <w:tabs>
                <w:tab w:val="left" w:pos="540"/>
              </w:tabs>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参考书名</w:t>
            </w:r>
          </w:p>
        </w:tc>
        <w:tc>
          <w:tcPr>
            <w:tcW w:w="1134" w:type="dxa"/>
            <w:shd w:val="clear" w:color="auto" w:fill="FFFFFF" w:themeFill="background1"/>
            <w:vAlign w:val="center"/>
          </w:tcPr>
          <w:p>
            <w:pPr>
              <w:tabs>
                <w:tab w:val="left" w:pos="540"/>
              </w:tabs>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复本数</w:t>
            </w:r>
          </w:p>
        </w:tc>
        <w:tc>
          <w:tcPr>
            <w:tcW w:w="2488" w:type="dxa"/>
            <w:shd w:val="clear" w:color="auto" w:fill="FFFFFF" w:themeFill="background1"/>
            <w:vAlign w:val="center"/>
          </w:tcPr>
          <w:p>
            <w:pPr>
              <w:tabs>
                <w:tab w:val="left" w:pos="540"/>
              </w:tabs>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年借阅人次数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134" w:type="dxa"/>
            <w:shd w:val="clear" w:color="auto" w:fill="FFFFFF" w:themeFill="background1"/>
            <w:vAlign w:val="center"/>
          </w:tcPr>
          <w:p>
            <w:pPr>
              <w:tabs>
                <w:tab w:val="left" w:pos="540"/>
              </w:tabs>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w:t>
            </w:r>
          </w:p>
        </w:tc>
        <w:tc>
          <w:tcPr>
            <w:tcW w:w="3397" w:type="dxa"/>
            <w:shd w:val="clear" w:color="auto" w:fill="FFFFFF" w:themeFill="background1"/>
            <w:vAlign w:val="center"/>
          </w:tcPr>
          <w:p>
            <w:pPr>
              <w:tabs>
                <w:tab w:val="left" w:pos="540"/>
              </w:tabs>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库存控制与管理</w:t>
            </w:r>
          </w:p>
        </w:tc>
        <w:tc>
          <w:tcPr>
            <w:tcW w:w="1134" w:type="dxa"/>
            <w:shd w:val="clear" w:color="auto" w:fill="FFFFFF" w:themeFill="background1"/>
            <w:vAlign w:val="center"/>
          </w:tcPr>
          <w:p>
            <w:pPr>
              <w:tabs>
                <w:tab w:val="left" w:pos="540"/>
              </w:tabs>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6</w:t>
            </w:r>
          </w:p>
        </w:tc>
        <w:tc>
          <w:tcPr>
            <w:tcW w:w="2488" w:type="dxa"/>
            <w:shd w:val="clear" w:color="auto" w:fill="FFFFFF" w:themeFill="background1"/>
            <w:vAlign w:val="center"/>
          </w:tcPr>
          <w:p>
            <w:pPr>
              <w:tabs>
                <w:tab w:val="left" w:pos="540"/>
              </w:tabs>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134" w:type="dxa"/>
            <w:shd w:val="clear" w:color="auto" w:fill="FFFFFF" w:themeFill="background1"/>
            <w:vAlign w:val="center"/>
          </w:tcPr>
          <w:p>
            <w:pPr>
              <w:tabs>
                <w:tab w:val="left" w:pos="540"/>
              </w:tabs>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3397" w:type="dxa"/>
            <w:shd w:val="clear" w:color="auto" w:fill="FFFFFF" w:themeFill="background1"/>
            <w:vAlign w:val="center"/>
          </w:tcPr>
          <w:p>
            <w:pPr>
              <w:tabs>
                <w:tab w:val="left" w:pos="540"/>
              </w:tabs>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采购与供应链管理</w:t>
            </w:r>
          </w:p>
        </w:tc>
        <w:tc>
          <w:tcPr>
            <w:tcW w:w="1134" w:type="dxa"/>
            <w:shd w:val="clear" w:color="auto" w:fill="FFFFFF" w:themeFill="background1"/>
            <w:vAlign w:val="center"/>
          </w:tcPr>
          <w:p>
            <w:pPr>
              <w:tabs>
                <w:tab w:val="left" w:pos="540"/>
              </w:tabs>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2488" w:type="dxa"/>
            <w:shd w:val="clear" w:color="auto" w:fill="FFFFFF" w:themeFill="background1"/>
            <w:vAlign w:val="center"/>
          </w:tcPr>
          <w:p>
            <w:pPr>
              <w:tabs>
                <w:tab w:val="left" w:pos="540"/>
              </w:tabs>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617" w:hRule="atLeast"/>
          <w:jc w:val="center"/>
        </w:trPr>
        <w:tc>
          <w:tcPr>
            <w:tcW w:w="1134" w:type="dxa"/>
            <w:shd w:val="clear" w:color="auto" w:fill="FFFFFF" w:themeFill="background1"/>
            <w:vAlign w:val="center"/>
          </w:tcPr>
          <w:p>
            <w:pPr>
              <w:tabs>
                <w:tab w:val="left" w:pos="540"/>
              </w:tabs>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w:t>
            </w:r>
          </w:p>
        </w:tc>
        <w:tc>
          <w:tcPr>
            <w:tcW w:w="3397" w:type="dxa"/>
            <w:shd w:val="clear" w:color="auto" w:fill="FFFFFF" w:themeFill="background1"/>
            <w:vAlign w:val="center"/>
          </w:tcPr>
          <w:p>
            <w:pPr>
              <w:tabs>
                <w:tab w:val="left" w:pos="540"/>
              </w:tabs>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仓储与配送管理</w:t>
            </w:r>
          </w:p>
        </w:tc>
        <w:tc>
          <w:tcPr>
            <w:tcW w:w="1134" w:type="dxa"/>
            <w:shd w:val="clear" w:color="auto" w:fill="FFFFFF" w:themeFill="background1"/>
            <w:vAlign w:val="center"/>
          </w:tcPr>
          <w:p>
            <w:pPr>
              <w:tabs>
                <w:tab w:val="left" w:pos="540"/>
              </w:tabs>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6</w:t>
            </w:r>
          </w:p>
        </w:tc>
        <w:tc>
          <w:tcPr>
            <w:tcW w:w="2488" w:type="dxa"/>
            <w:shd w:val="clear" w:color="auto" w:fill="FFFFFF" w:themeFill="background1"/>
            <w:vAlign w:val="center"/>
          </w:tcPr>
          <w:p>
            <w:pPr>
              <w:tabs>
                <w:tab w:val="left" w:pos="540"/>
              </w:tabs>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617" w:hRule="atLeast"/>
          <w:jc w:val="center"/>
        </w:trPr>
        <w:tc>
          <w:tcPr>
            <w:tcW w:w="1134" w:type="dxa"/>
            <w:shd w:val="clear" w:color="auto" w:fill="FFFFFF" w:themeFill="background1"/>
            <w:vAlign w:val="center"/>
          </w:tcPr>
          <w:p>
            <w:pPr>
              <w:tabs>
                <w:tab w:val="left" w:pos="540"/>
              </w:tabs>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4</w:t>
            </w:r>
          </w:p>
        </w:tc>
        <w:tc>
          <w:tcPr>
            <w:tcW w:w="3397" w:type="dxa"/>
            <w:shd w:val="clear" w:color="auto" w:fill="FFFFFF" w:themeFill="background1"/>
            <w:vAlign w:val="center"/>
          </w:tcPr>
          <w:p>
            <w:pPr>
              <w:tabs>
                <w:tab w:val="left" w:pos="540"/>
              </w:tabs>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物流系统规划与设计</w:t>
            </w:r>
          </w:p>
        </w:tc>
        <w:tc>
          <w:tcPr>
            <w:tcW w:w="1134" w:type="dxa"/>
            <w:shd w:val="clear" w:color="auto" w:fill="FFFFFF" w:themeFill="background1"/>
            <w:vAlign w:val="center"/>
          </w:tcPr>
          <w:p>
            <w:pPr>
              <w:tabs>
                <w:tab w:val="left" w:pos="540"/>
              </w:tabs>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2488" w:type="dxa"/>
            <w:shd w:val="clear" w:color="auto" w:fill="FFFFFF" w:themeFill="background1"/>
            <w:vAlign w:val="center"/>
          </w:tcPr>
          <w:p>
            <w:pPr>
              <w:tabs>
                <w:tab w:val="left" w:pos="540"/>
              </w:tabs>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617" w:hRule="atLeast"/>
          <w:jc w:val="center"/>
        </w:trPr>
        <w:tc>
          <w:tcPr>
            <w:tcW w:w="1134" w:type="dxa"/>
            <w:shd w:val="clear" w:color="auto" w:fill="FFFFFF" w:themeFill="background1"/>
            <w:vAlign w:val="center"/>
          </w:tcPr>
          <w:p>
            <w:pPr>
              <w:tabs>
                <w:tab w:val="left" w:pos="540"/>
              </w:tabs>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w:t>
            </w:r>
          </w:p>
        </w:tc>
        <w:tc>
          <w:tcPr>
            <w:tcW w:w="3397" w:type="dxa"/>
            <w:shd w:val="clear" w:color="auto" w:fill="FFFFFF" w:themeFill="background1"/>
            <w:vAlign w:val="center"/>
          </w:tcPr>
          <w:p>
            <w:pPr>
              <w:tabs>
                <w:tab w:val="left" w:pos="540"/>
              </w:tabs>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运筹学解题指导</w:t>
            </w:r>
          </w:p>
        </w:tc>
        <w:tc>
          <w:tcPr>
            <w:tcW w:w="1134" w:type="dxa"/>
            <w:shd w:val="clear" w:color="auto" w:fill="FFFFFF" w:themeFill="background1"/>
            <w:vAlign w:val="center"/>
          </w:tcPr>
          <w:p>
            <w:pPr>
              <w:tabs>
                <w:tab w:val="left" w:pos="540"/>
              </w:tabs>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8</w:t>
            </w:r>
          </w:p>
        </w:tc>
        <w:tc>
          <w:tcPr>
            <w:tcW w:w="2488" w:type="dxa"/>
            <w:shd w:val="clear" w:color="auto" w:fill="FFFFFF" w:themeFill="background1"/>
            <w:vAlign w:val="center"/>
          </w:tcPr>
          <w:p>
            <w:pPr>
              <w:tabs>
                <w:tab w:val="left" w:pos="540"/>
              </w:tabs>
              <w:adjustRightInd w:val="0"/>
              <w:snapToGrid w:val="0"/>
              <w:spacing w:line="360" w:lineRule="auto"/>
              <w:contextualSpacing/>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174</w:t>
            </w:r>
          </w:p>
        </w:tc>
      </w:tr>
    </w:tbl>
    <w:p>
      <w:pPr>
        <w:spacing w:line="360" w:lineRule="auto"/>
        <w:rPr>
          <w:rFonts w:ascii="Times New Roman Regular" w:hAnsi="Times New Roman Regular" w:cs="Times New Roman Regular"/>
          <w:sz w:val="21"/>
          <w:szCs w:val="21"/>
        </w:rPr>
      </w:pPr>
    </w:p>
    <w:p>
      <w:pPr>
        <w:spacing w:line="360" w:lineRule="auto"/>
        <w:ind w:firstLine="420" w:firstLineChars="20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物流管理专业采取与企业共建等方式加大实验室建设投入，如：2019-2020年投入近35万元人民币，向北京润尼尔网络科技有限公司合作设计了虚拟仿真实验软件，已经应用到实习教学当中。</w:t>
      </w:r>
    </w:p>
    <w:p>
      <w:pPr>
        <w:spacing w:line="360" w:lineRule="auto"/>
        <w:ind w:firstLine="420" w:firstLineChars="20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物流专业实验室现有专职实验管理人员2人，有效地保证了实习实验教学达到教学要求。</w:t>
      </w:r>
    </w:p>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表5-3 物流管理专业实验室情况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1229"/>
        <w:gridCol w:w="1782"/>
        <w:gridCol w:w="1229"/>
        <w:gridCol w:w="1505"/>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项目</w:t>
            </w:r>
          </w:p>
        </w:tc>
        <w:tc>
          <w:tcPr>
            <w:tcW w:w="122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数量</w:t>
            </w:r>
          </w:p>
        </w:tc>
        <w:tc>
          <w:tcPr>
            <w:tcW w:w="1782"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承担实验课程门数</w:t>
            </w:r>
          </w:p>
        </w:tc>
        <w:tc>
          <w:tcPr>
            <w:tcW w:w="1229"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面积（平方米）</w:t>
            </w:r>
          </w:p>
        </w:tc>
        <w:tc>
          <w:tcPr>
            <w:tcW w:w="1505"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设备台套数</w:t>
            </w:r>
          </w:p>
        </w:tc>
        <w:tc>
          <w:tcPr>
            <w:tcW w:w="132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设备值（万元）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专业实验室</w:t>
            </w:r>
          </w:p>
        </w:tc>
        <w:tc>
          <w:tcPr>
            <w:tcW w:w="1229"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0</w:t>
            </w:r>
            <w:bookmarkStart w:id="73" w:name="OLE_LINK49"/>
            <w:bookmarkEnd w:id="73"/>
          </w:p>
        </w:tc>
        <w:tc>
          <w:tcPr>
            <w:tcW w:w="1782"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0</w:t>
            </w:r>
          </w:p>
        </w:tc>
        <w:tc>
          <w:tcPr>
            <w:tcW w:w="1229"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0</w:t>
            </w:r>
          </w:p>
        </w:tc>
        <w:tc>
          <w:tcPr>
            <w:tcW w:w="1505"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0</w:t>
            </w:r>
          </w:p>
        </w:tc>
        <w:tc>
          <w:tcPr>
            <w:tcW w:w="1321"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rPr>
              <w:t>基础实验室</w:t>
            </w:r>
          </w:p>
        </w:tc>
        <w:tc>
          <w:tcPr>
            <w:tcW w:w="1229"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rPr>
              <w:t>2</w:t>
            </w:r>
          </w:p>
        </w:tc>
        <w:tc>
          <w:tcPr>
            <w:tcW w:w="1782"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rPr>
              <w:t>4</w:t>
            </w:r>
          </w:p>
        </w:tc>
        <w:tc>
          <w:tcPr>
            <w:tcW w:w="1229"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rPr>
              <w:t>288</w:t>
            </w:r>
          </w:p>
        </w:tc>
        <w:tc>
          <w:tcPr>
            <w:tcW w:w="1505"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rPr>
              <w:t>0</w:t>
            </w:r>
          </w:p>
        </w:tc>
        <w:tc>
          <w:tcPr>
            <w:tcW w:w="1321"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rPr>
              <w:t>实习场所</w:t>
            </w:r>
          </w:p>
        </w:tc>
        <w:tc>
          <w:tcPr>
            <w:tcW w:w="1229"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rPr>
              <w:t>0</w:t>
            </w:r>
          </w:p>
        </w:tc>
        <w:tc>
          <w:tcPr>
            <w:tcW w:w="1782"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rPr>
              <w:t>0</w:t>
            </w:r>
          </w:p>
        </w:tc>
        <w:tc>
          <w:tcPr>
            <w:tcW w:w="1229"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rPr>
              <w:t>0</w:t>
            </w:r>
          </w:p>
        </w:tc>
        <w:tc>
          <w:tcPr>
            <w:tcW w:w="1505"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rPr>
              <w:t>0</w:t>
            </w:r>
          </w:p>
        </w:tc>
        <w:tc>
          <w:tcPr>
            <w:tcW w:w="1321"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rPr>
              <w:t>实训场所</w:t>
            </w:r>
          </w:p>
        </w:tc>
        <w:tc>
          <w:tcPr>
            <w:tcW w:w="1229"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rPr>
              <w:t>0</w:t>
            </w:r>
          </w:p>
        </w:tc>
        <w:tc>
          <w:tcPr>
            <w:tcW w:w="1782"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rPr>
              <w:t>0</w:t>
            </w:r>
          </w:p>
        </w:tc>
        <w:tc>
          <w:tcPr>
            <w:tcW w:w="1229"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rPr>
              <w:t>0</w:t>
            </w:r>
          </w:p>
        </w:tc>
        <w:tc>
          <w:tcPr>
            <w:tcW w:w="1505"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rPr>
              <w:t>0</w:t>
            </w:r>
          </w:p>
        </w:tc>
        <w:tc>
          <w:tcPr>
            <w:tcW w:w="1321"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rPr>
              <w:t>其他</w:t>
            </w:r>
          </w:p>
        </w:tc>
        <w:tc>
          <w:tcPr>
            <w:tcW w:w="1229"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rPr>
              <w:t>0</w:t>
            </w:r>
          </w:p>
        </w:tc>
        <w:tc>
          <w:tcPr>
            <w:tcW w:w="1782"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rPr>
              <w:t>0</w:t>
            </w:r>
          </w:p>
        </w:tc>
        <w:tc>
          <w:tcPr>
            <w:tcW w:w="1229"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rPr>
              <w:t>0</w:t>
            </w:r>
          </w:p>
        </w:tc>
        <w:tc>
          <w:tcPr>
            <w:tcW w:w="1505"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rPr>
              <w:t>0</w:t>
            </w:r>
          </w:p>
        </w:tc>
        <w:tc>
          <w:tcPr>
            <w:tcW w:w="1321" w:type="dxa"/>
            <w:vAlign w:val="center"/>
          </w:tcPr>
          <w:p>
            <w:pPr>
              <w:spacing w:line="360" w:lineRule="auto"/>
              <w:jc w:val="center"/>
              <w:rPr>
                <w:rFonts w:ascii="Times New Roman Regular" w:hAnsi="Times New Roman Regular" w:cs="Times New Roman Regular"/>
                <w:sz w:val="20"/>
                <w:szCs w:val="20"/>
              </w:rPr>
            </w:pPr>
            <w:r>
              <w:rPr>
                <w:rFonts w:ascii="Times New Roman Regular" w:hAnsi="Times New Roman Regular" w:cs="Times New Roman Regular"/>
                <w:sz w:val="20"/>
              </w:rPr>
              <w:t>0</w:t>
            </w:r>
          </w:p>
        </w:tc>
      </w:tr>
    </w:tbl>
    <w:p>
      <w:pPr>
        <w:spacing w:line="360" w:lineRule="auto"/>
        <w:rPr>
          <w:rFonts w:ascii="Times New Roman Regular" w:hAnsi="Times New Roman Regular" w:cs="Times New Roman Regular"/>
        </w:rPr>
      </w:pPr>
    </w:p>
    <w:p>
      <w:pPr>
        <w:pStyle w:val="4"/>
        <w:spacing w:line="360" w:lineRule="auto"/>
        <w:rPr>
          <w:rFonts w:ascii="Times New Roman Regular" w:hAnsi="Times New Roman Regular" w:eastAsia="宋体" w:cs="Times New Roman Regular"/>
          <w:sz w:val="24"/>
          <w:szCs w:val="24"/>
        </w:rPr>
      </w:pPr>
      <w:bookmarkStart w:id="74" w:name="_Toc62517776"/>
      <w:r>
        <w:rPr>
          <w:rFonts w:ascii="Times New Roman Regular" w:hAnsi="Times New Roman Regular" w:eastAsia="宋体" w:cs="Times New Roman Regular"/>
          <w:sz w:val="24"/>
          <w:szCs w:val="24"/>
        </w:rPr>
        <w:t>5.3校外本科教学实习实训基地情况</w:t>
      </w:r>
      <w:bookmarkEnd w:id="74"/>
    </w:p>
    <w:p>
      <w:pPr>
        <w:spacing w:line="360" w:lineRule="auto"/>
        <w:ind w:firstLine="420" w:firstLineChars="20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目前本专业已与上海郑明物流有限公司等企业先后签订了实习、产学研合作协议。其中，与10家企业建立了稳定的实习基地或实训基地，为本专业学生开展实习、实践、产学合作教育提供了保障，表12列出了其中具有代表性的5家单位。本专业实习基地能保证每学期至少有1批学生在基地实习与实践。</w:t>
      </w:r>
    </w:p>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表5-4 </w:t>
      </w:r>
      <w:r>
        <w:rPr>
          <w:rFonts w:ascii="Times New Roman Regular" w:hAnsi="Times New Roman Regular" w:cs="Times New Roman Regular"/>
        </w:rPr>
        <w:t>校外本科教学实习实训基地情况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1"/>
        <w:gridCol w:w="140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基地名称</w:t>
            </w:r>
          </w:p>
        </w:tc>
        <w:tc>
          <w:tcPr>
            <w:tcW w:w="1401" w:type="dxa"/>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建立时间</w:t>
            </w:r>
          </w:p>
        </w:tc>
        <w:tc>
          <w:tcPr>
            <w:tcW w:w="2914" w:type="dxa"/>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当年接纳学生总数（人次）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柏中工业固定器国际贸易(上海)有限公司</w:t>
            </w:r>
          </w:p>
        </w:tc>
        <w:tc>
          <w:tcPr>
            <w:tcW w:w="140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2014</w:t>
            </w:r>
          </w:p>
        </w:tc>
        <w:tc>
          <w:tcPr>
            <w:tcW w:w="291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w:t>
            </w:r>
            <w:bookmarkStart w:id="75" w:name="OLE_LINK50"/>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上海郑明现代物流有限公司</w:t>
            </w:r>
          </w:p>
        </w:tc>
        <w:tc>
          <w:tcPr>
            <w:tcW w:w="140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2020</w:t>
            </w:r>
          </w:p>
        </w:tc>
        <w:tc>
          <w:tcPr>
            <w:tcW w:w="291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上海裕健建设发展有限公司</w:t>
            </w:r>
          </w:p>
        </w:tc>
        <w:tc>
          <w:tcPr>
            <w:tcW w:w="140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2020</w:t>
            </w:r>
          </w:p>
        </w:tc>
        <w:tc>
          <w:tcPr>
            <w:tcW w:w="291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上海协达冷气工程有限公司</w:t>
            </w:r>
          </w:p>
        </w:tc>
        <w:tc>
          <w:tcPr>
            <w:tcW w:w="140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2020</w:t>
            </w:r>
          </w:p>
        </w:tc>
        <w:tc>
          <w:tcPr>
            <w:tcW w:w="291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上海锦江国际低温物流发展有限公司</w:t>
            </w:r>
          </w:p>
        </w:tc>
        <w:tc>
          <w:tcPr>
            <w:tcW w:w="140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2020</w:t>
            </w:r>
          </w:p>
        </w:tc>
        <w:tc>
          <w:tcPr>
            <w:tcW w:w="291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color w:val="000000"/>
                <w:kern w:val="24"/>
                <w:sz w:val="21"/>
                <w:szCs w:val="21"/>
              </w:rPr>
              <w:t>上海卓昕瑞供应链管理有限公司</w:t>
            </w:r>
          </w:p>
        </w:tc>
        <w:tc>
          <w:tcPr>
            <w:tcW w:w="140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2023</w:t>
            </w:r>
          </w:p>
        </w:tc>
        <w:tc>
          <w:tcPr>
            <w:tcW w:w="291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color w:val="000000"/>
                <w:kern w:val="24"/>
                <w:sz w:val="21"/>
                <w:szCs w:val="21"/>
              </w:rPr>
              <w:t>上海钢蜂物流科技有限公司</w:t>
            </w:r>
          </w:p>
        </w:tc>
        <w:tc>
          <w:tcPr>
            <w:tcW w:w="1401" w:type="dxa"/>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2023</w:t>
            </w:r>
          </w:p>
        </w:tc>
        <w:tc>
          <w:tcPr>
            <w:tcW w:w="291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color w:val="000000"/>
                <w:kern w:val="24"/>
                <w:sz w:val="21"/>
                <w:szCs w:val="21"/>
              </w:rPr>
              <w:t>上海西岸艺术品保税发展有限公司</w:t>
            </w:r>
          </w:p>
        </w:tc>
        <w:tc>
          <w:tcPr>
            <w:tcW w:w="1401" w:type="dxa"/>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2023</w:t>
            </w:r>
          </w:p>
        </w:tc>
        <w:tc>
          <w:tcPr>
            <w:tcW w:w="291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color w:val="000000"/>
                <w:kern w:val="24"/>
                <w:sz w:val="21"/>
                <w:szCs w:val="21"/>
              </w:rPr>
              <w:t>上海元初国际物流有限公司</w:t>
            </w:r>
          </w:p>
        </w:tc>
        <w:tc>
          <w:tcPr>
            <w:tcW w:w="1401" w:type="dxa"/>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2023</w:t>
            </w:r>
          </w:p>
        </w:tc>
        <w:tc>
          <w:tcPr>
            <w:tcW w:w="291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4</w:t>
            </w:r>
          </w:p>
        </w:tc>
      </w:tr>
    </w:tbl>
    <w:p>
      <w:pPr>
        <w:spacing w:line="360" w:lineRule="auto"/>
        <w:rPr>
          <w:rFonts w:ascii="Times New Roman Regular" w:hAnsi="Times New Roman Regular" w:cs="Times New Roman Regular"/>
        </w:rPr>
      </w:pPr>
    </w:p>
    <w:p>
      <w:pPr>
        <w:pStyle w:val="3"/>
        <w:pageBreakBefore/>
        <w:spacing w:after="120" w:line="360" w:lineRule="auto"/>
        <w:jc w:val="left"/>
        <w:rPr>
          <w:rFonts w:ascii="Times New Roman Regular" w:hAnsi="Times New Roman Regular" w:cs="Times New Roman Regular"/>
          <w:b w:val="0"/>
          <w:bCs w:val="0"/>
          <w:sz w:val="28"/>
          <w:szCs w:val="28"/>
        </w:rPr>
      </w:pPr>
      <w:bookmarkStart w:id="76" w:name="_Toc616757849"/>
      <w:r>
        <w:rPr>
          <w:rFonts w:ascii="Times New Roman Regular" w:hAnsi="Times New Roman Regular" w:cs="Times New Roman Regular"/>
          <w:b w:val="0"/>
          <w:bCs w:val="0"/>
          <w:sz w:val="28"/>
          <w:szCs w:val="28"/>
        </w:rPr>
        <w:t>6.质量保障</w:t>
      </w:r>
      <w:bookmarkEnd w:id="76"/>
      <w:r>
        <w:rPr>
          <w:rFonts w:ascii="Times New Roman Regular" w:hAnsi="Times New Roman Regular" w:cs="Times New Roman Regular"/>
          <w:b w:val="0"/>
          <w:bCs w:val="0"/>
          <w:sz w:val="28"/>
          <w:szCs w:val="28"/>
        </w:rPr>
        <w:t xml:space="preserve"> </w:t>
      </w:r>
    </w:p>
    <w:p>
      <w:pPr>
        <w:pStyle w:val="4"/>
        <w:spacing w:line="360" w:lineRule="auto"/>
        <w:rPr>
          <w:rFonts w:ascii="Times New Roman Regular" w:hAnsi="Times New Roman Regular" w:eastAsia="宋体" w:cs="Times New Roman Regular"/>
          <w:sz w:val="24"/>
          <w:szCs w:val="24"/>
        </w:rPr>
      </w:pPr>
      <w:bookmarkStart w:id="77" w:name="_Toc2093087721"/>
      <w:r>
        <w:rPr>
          <w:rFonts w:ascii="Times New Roman Regular" w:hAnsi="Times New Roman Regular" w:eastAsia="宋体" w:cs="Times New Roman Regular"/>
          <w:sz w:val="24"/>
          <w:szCs w:val="24"/>
        </w:rPr>
        <w:t>6.1质量保障体系</w:t>
      </w:r>
      <w:bookmarkEnd w:id="77"/>
    </w:p>
    <w:p>
      <w:pPr>
        <w:pStyle w:val="16"/>
        <w:tabs>
          <w:tab w:val="left" w:pos="8280"/>
        </w:tabs>
        <w:adjustRightInd w:val="0"/>
        <w:snapToGrid w:val="0"/>
        <w:spacing w:before="0" w:beforeAutospacing="0" w:after="0" w:afterAutospacing="0"/>
        <w:ind w:firstLine="480" w:firstLineChars="200"/>
        <w:contextualSpacing/>
        <w:jc w:val="both"/>
        <w:rPr>
          <w:rFonts w:ascii="Times New Roman Regular" w:hAnsi="Times New Roman Regular" w:cs="Times New Roman Regular"/>
        </w:rPr>
      </w:pPr>
      <w:r>
        <w:rPr>
          <w:rFonts w:ascii="Times New Roman Regular" w:hAnsi="Times New Roman Regular" w:cs="Times New Roman Regular"/>
        </w:rPr>
        <w:t>学校根据市教委的相关要求，建立了“专业质量报告制度”，定期发布专业质量报告。同时，本专业严格遵照学校制定的行政负责制的校级质量管理体系和院（部）级质量管理体系。</w:t>
      </w:r>
    </w:p>
    <w:p>
      <w:pPr>
        <w:pStyle w:val="16"/>
        <w:tabs>
          <w:tab w:val="left" w:pos="8280"/>
        </w:tabs>
        <w:adjustRightInd w:val="0"/>
        <w:snapToGrid w:val="0"/>
        <w:spacing w:before="0" w:beforeAutospacing="0" w:after="0" w:afterAutospacing="0"/>
        <w:ind w:firstLine="480" w:firstLineChars="200"/>
        <w:contextualSpacing/>
        <w:jc w:val="both"/>
        <w:rPr>
          <w:rFonts w:ascii="Times New Roman Regular" w:hAnsi="Times New Roman Regular" w:cs="Times New Roman Regular"/>
        </w:rPr>
      </w:pPr>
      <w:r>
        <w:rPr>
          <w:rFonts w:ascii="Times New Roman Regular" w:hAnsi="Times New Roman Regular" w:cs="Times New Roman Regular"/>
        </w:rPr>
        <w:t>首先，学校针对大一新生开设了专业导论课，专业导论课是关于一个专业的整体性、概要性的入门课程，通过导论课，使大学新生能够第一时间了解相关本科专业的内涵和特点、专业与社会经济发展的关系、专业涉及的主要学科知识和课程体系，以及专业人才培养的基本要求，从而帮助大学新生形成更系统的专业认识，满足学生对相关专业内涵和发展趋势的了解。</w:t>
      </w:r>
    </w:p>
    <w:p>
      <w:pPr>
        <w:pStyle w:val="27"/>
        <w:tabs>
          <w:tab w:val="left" w:pos="681"/>
        </w:tabs>
        <w:spacing w:before="0" w:beforeAutospacing="0" w:after="0" w:afterAutospacing="0" w:line="360" w:lineRule="auto"/>
        <w:ind w:firstLine="480" w:firstLineChars="200"/>
        <w:jc w:val="both"/>
        <w:rPr>
          <w:rFonts w:ascii="Times New Roman Regular" w:hAnsi="Times New Roman Regular" w:eastAsia="Times New Roman" w:cs="Times New Roman Regular"/>
        </w:rPr>
      </w:pPr>
      <w:r>
        <w:rPr>
          <w:rFonts w:ascii="Times New Roman Regular" w:hAnsi="Times New Roman Regular" w:cs="Times New Roman Regular"/>
        </w:rPr>
        <w:t>此外，物流管理专业也在积极建立质量保障体系，加强质量保障组织制度的建设，采取带教责任制、例会制、培训等多种方式提升教学质量，每月开设一次教研例会，全部专业教师例行参会，并在会中共同探讨提升教学质量的方式方法。</w:t>
      </w:r>
    </w:p>
    <w:p>
      <w:pPr>
        <w:pStyle w:val="4"/>
        <w:spacing w:line="360" w:lineRule="auto"/>
        <w:rPr>
          <w:rFonts w:ascii="Times New Roman Regular" w:hAnsi="Times New Roman Regular" w:eastAsia="宋体" w:cs="Times New Roman Regular"/>
          <w:sz w:val="24"/>
          <w:szCs w:val="24"/>
        </w:rPr>
      </w:pPr>
      <w:bookmarkStart w:id="78" w:name="_Toc595705340"/>
      <w:r>
        <w:rPr>
          <w:rFonts w:ascii="Times New Roman Regular" w:hAnsi="Times New Roman Regular" w:eastAsia="宋体" w:cs="Times New Roman Regular"/>
          <w:sz w:val="24"/>
          <w:szCs w:val="24"/>
        </w:rPr>
        <w:t>6.2质量监控制度及实施办法</w:t>
      </w:r>
      <w:bookmarkEnd w:id="78"/>
    </w:p>
    <w:p>
      <w:pPr>
        <w:pStyle w:val="16"/>
        <w:tabs>
          <w:tab w:val="left" w:pos="8280"/>
        </w:tabs>
        <w:adjustRightInd w:val="0"/>
        <w:snapToGrid w:val="0"/>
        <w:spacing w:before="0" w:beforeAutospacing="0" w:after="0" w:afterAutospacing="0"/>
        <w:ind w:firstLine="480" w:firstLineChars="200"/>
        <w:jc w:val="both"/>
        <w:rPr>
          <w:rFonts w:ascii="Times New Roman Regular" w:hAnsi="Times New Roman Regular" w:cs="Times New Roman Regular"/>
        </w:rPr>
      </w:pPr>
      <w:r>
        <w:rPr>
          <w:rFonts w:ascii="Times New Roman Regular" w:hAnsi="Times New Roman Regular" w:cs="Times New Roman Regular"/>
        </w:rPr>
        <w:t>本专业按照学校、学院的教学管理规定，参与制订了《专业教学工作规范的实施细则》等工作文件，对专业系正副主任的职责及课程开设的条件、教师任教的条件与在教学工作中的职责等做出了规范的要求，作为实施教学全过程质量管理的标准。</w:t>
      </w:r>
    </w:p>
    <w:p>
      <w:pPr>
        <w:pStyle w:val="16"/>
        <w:tabs>
          <w:tab w:val="left" w:pos="8280"/>
        </w:tabs>
        <w:adjustRightInd w:val="0"/>
        <w:snapToGrid w:val="0"/>
        <w:spacing w:before="0" w:beforeAutospacing="0" w:after="0" w:afterAutospacing="0"/>
        <w:ind w:firstLine="480" w:firstLineChars="200"/>
        <w:jc w:val="both"/>
        <w:rPr>
          <w:rFonts w:ascii="Times New Roman Regular" w:hAnsi="Times New Roman Regular" w:cs="Times New Roman Regular"/>
        </w:rPr>
      </w:pPr>
      <w:r>
        <w:rPr>
          <w:rFonts w:ascii="Times New Roman Regular" w:hAnsi="Times New Roman Regular" w:cs="Times New Roman Regular"/>
        </w:rPr>
        <w:t>物流管理专业也在积极发挥质量保障体系的作用，在培养计划、课程教学、考核、实践教学和教学建设等教学全过程的各个方面，实施教学质量管理与监控制度体系的建设。</w:t>
      </w:r>
    </w:p>
    <w:p>
      <w:pPr>
        <w:pStyle w:val="16"/>
        <w:tabs>
          <w:tab w:val="left" w:pos="8280"/>
        </w:tabs>
        <w:adjustRightInd w:val="0"/>
        <w:snapToGrid w:val="0"/>
        <w:spacing w:before="0" w:beforeAutospacing="0" w:after="0" w:afterAutospacing="0"/>
        <w:ind w:firstLine="480" w:firstLineChars="200"/>
        <w:jc w:val="both"/>
        <w:rPr>
          <w:rFonts w:ascii="Times New Roman Regular" w:hAnsi="Times New Roman Regular" w:cs="Times New Roman Regular"/>
        </w:rPr>
      </w:pPr>
      <w:r>
        <w:rPr>
          <w:rFonts w:ascii="Times New Roman Regular" w:hAnsi="Times New Roman Regular" w:cs="Times New Roman Regular"/>
        </w:rPr>
        <w:t>在“培养计划”方面：建立并实施了调研、调研、专家评审、培养目标与毕业要求和课程体系之间的关系矩阵等一系列质量监控举措。</w:t>
      </w:r>
    </w:p>
    <w:p>
      <w:pPr>
        <w:pStyle w:val="16"/>
        <w:tabs>
          <w:tab w:val="left" w:pos="8280"/>
        </w:tabs>
        <w:adjustRightInd w:val="0"/>
        <w:snapToGrid w:val="0"/>
        <w:spacing w:before="0" w:beforeAutospacing="0" w:after="0" w:afterAutospacing="0"/>
        <w:ind w:firstLine="480" w:firstLineChars="200"/>
        <w:jc w:val="both"/>
        <w:rPr>
          <w:rFonts w:ascii="Times New Roman Regular" w:hAnsi="Times New Roman Regular" w:cs="Times New Roman Regular"/>
        </w:rPr>
      </w:pPr>
      <w:r>
        <w:rPr>
          <w:rFonts w:ascii="Times New Roman Regular" w:hAnsi="Times New Roman Regular" w:cs="Times New Roman Regular"/>
        </w:rPr>
        <w:t>在“课程教学”方面，建立并实施了教学督导、领导干部、同行专家的听课制度等质量监控举措。</w:t>
      </w:r>
    </w:p>
    <w:p>
      <w:pPr>
        <w:pStyle w:val="16"/>
        <w:tabs>
          <w:tab w:val="left" w:pos="8280"/>
        </w:tabs>
        <w:adjustRightInd w:val="0"/>
        <w:snapToGrid w:val="0"/>
        <w:spacing w:before="0" w:beforeAutospacing="0" w:after="0" w:afterAutospacing="0"/>
        <w:ind w:firstLine="480" w:firstLineChars="200"/>
        <w:jc w:val="both"/>
        <w:rPr>
          <w:rFonts w:ascii="Times New Roman Regular" w:hAnsi="Times New Roman Regular" w:cs="Times New Roman Regular"/>
        </w:rPr>
      </w:pPr>
      <w:r>
        <w:rPr>
          <w:rFonts w:ascii="Times New Roman Regular" w:hAnsi="Times New Roman Regular" w:cs="Times New Roman Regular"/>
        </w:rPr>
        <w:t>在“考核”方面，对课程考核过程采取密集的巡考检查和多重技术手段，严密监控考场秩序；对课程教学和考核资料建立并实施了一整套自查和校内外专家抽查办法。</w:t>
      </w:r>
    </w:p>
    <w:p>
      <w:pPr>
        <w:pStyle w:val="16"/>
        <w:tabs>
          <w:tab w:val="left" w:pos="8280"/>
        </w:tabs>
        <w:adjustRightInd w:val="0"/>
        <w:snapToGrid w:val="0"/>
        <w:spacing w:before="0" w:beforeAutospacing="0" w:after="0" w:afterAutospacing="0"/>
        <w:ind w:firstLine="480" w:firstLineChars="200"/>
        <w:jc w:val="both"/>
        <w:rPr>
          <w:rFonts w:ascii="Times New Roman Regular" w:hAnsi="Times New Roman Regular" w:cs="Times New Roman Regular"/>
        </w:rPr>
      </w:pPr>
      <w:r>
        <w:rPr>
          <w:rFonts w:ascii="Times New Roman Regular" w:hAnsi="Times New Roman Regular" w:cs="Times New Roman Regular"/>
        </w:rPr>
        <w:t>在“实践教学”方面，建立并实施了实践环节现场检查、资料自查与校内外专家抽查，毕业设计(论文)前、中、后期自查与专家抽查等覆盖全过程的质量监控举措。</w:t>
      </w:r>
    </w:p>
    <w:p>
      <w:pPr>
        <w:pStyle w:val="16"/>
        <w:tabs>
          <w:tab w:val="left" w:pos="8280"/>
        </w:tabs>
        <w:adjustRightInd w:val="0"/>
        <w:snapToGrid w:val="0"/>
        <w:spacing w:before="0" w:beforeAutospacing="0" w:after="0" w:afterAutospacing="0"/>
        <w:ind w:firstLine="480" w:firstLineChars="200"/>
        <w:jc w:val="both"/>
        <w:rPr>
          <w:rFonts w:ascii="Times New Roman Regular" w:hAnsi="Times New Roman Regular" w:cs="Times New Roman Regular"/>
        </w:rPr>
      </w:pPr>
      <w:r>
        <w:rPr>
          <w:rFonts w:ascii="Times New Roman Regular" w:hAnsi="Times New Roman Regular" w:cs="Times New Roman Regular"/>
        </w:rPr>
        <w:t>在“教学建设”方面，建立并实施了一系列激励和过程质量监控的相应举措。</w:t>
      </w:r>
    </w:p>
    <w:p>
      <w:pPr>
        <w:pStyle w:val="16"/>
        <w:tabs>
          <w:tab w:val="left" w:pos="8280"/>
        </w:tabs>
        <w:adjustRightInd w:val="0"/>
        <w:snapToGrid w:val="0"/>
        <w:spacing w:before="0" w:beforeAutospacing="0" w:after="0" w:afterAutospacing="0"/>
        <w:ind w:firstLine="480" w:firstLineChars="200"/>
        <w:jc w:val="both"/>
        <w:rPr>
          <w:rFonts w:ascii="Times New Roman Regular" w:hAnsi="Times New Roman Regular" w:cs="Times New Roman Regular"/>
        </w:rPr>
      </w:pPr>
      <w:r>
        <w:rPr>
          <w:rFonts w:ascii="Times New Roman Regular" w:hAnsi="Times New Roman Regular" w:cs="Times New Roman Regular"/>
        </w:rPr>
        <w:t>本专业同样重视课堂教学评价，通过学校的四方评教体系（“同行”听课、“领导” 听课、“教学督导” 听课和“学生评教”），作为课程教学质量量化评价的重要依据。授课教师可以上网查看评教情况，从而及时调整教学方法和手段，提升教学效果。</w:t>
      </w:r>
    </w:p>
    <w:p>
      <w:pPr>
        <w:pStyle w:val="16"/>
        <w:tabs>
          <w:tab w:val="left" w:pos="8280"/>
        </w:tabs>
        <w:adjustRightInd w:val="0"/>
        <w:snapToGrid w:val="0"/>
        <w:spacing w:before="0" w:beforeAutospacing="0" w:after="0" w:afterAutospacing="0"/>
        <w:ind w:firstLine="480" w:firstLineChars="200"/>
        <w:jc w:val="both"/>
        <w:rPr>
          <w:rFonts w:ascii="Times New Roman Regular" w:hAnsi="Times New Roman Regular" w:cs="Times New Roman Regular"/>
        </w:rPr>
      </w:pPr>
      <w:r>
        <w:rPr>
          <w:rFonts w:ascii="Times New Roman Regular" w:hAnsi="Times New Roman Regular" w:cs="Times New Roman Regular"/>
        </w:rPr>
        <w:t>对教学进行全方位的监控，协调教学体系运作，进行动态改进；加强教学改革，完善教学保障机制、建设教研室，提升质量监控管理，对课程进行教学改革、提高师资水平、注重日常管理，合理调整本科教学培养方案目标和教学大纲，打造良好育人环境。</w:t>
      </w:r>
    </w:p>
    <w:p>
      <w:pPr>
        <w:pStyle w:val="4"/>
        <w:spacing w:line="360" w:lineRule="auto"/>
        <w:rPr>
          <w:rFonts w:ascii="Times New Roman Regular" w:hAnsi="Times New Roman Regular" w:eastAsia="宋体" w:cs="Times New Roman Regular"/>
          <w:sz w:val="24"/>
          <w:szCs w:val="24"/>
        </w:rPr>
      </w:pPr>
      <w:bookmarkStart w:id="79" w:name="_Toc450887066"/>
      <w:r>
        <w:rPr>
          <w:rFonts w:ascii="Times New Roman Regular" w:hAnsi="Times New Roman Regular" w:eastAsia="宋体" w:cs="Times New Roman Regular"/>
          <w:sz w:val="24"/>
          <w:szCs w:val="24"/>
        </w:rPr>
        <w:t>6.3质量评估反馈及持续改进</w:t>
      </w:r>
      <w:bookmarkEnd w:id="79"/>
      <w:r>
        <w:rPr>
          <w:rFonts w:ascii="Times New Roman Regular" w:hAnsi="Times New Roman Regular" w:eastAsia="宋体" w:cs="Times New Roman Regular"/>
          <w:sz w:val="24"/>
          <w:szCs w:val="24"/>
        </w:rPr>
        <w:t xml:space="preserve"> </w:t>
      </w:r>
    </w:p>
    <w:p>
      <w:pPr>
        <w:pStyle w:val="16"/>
        <w:tabs>
          <w:tab w:val="left" w:pos="8280"/>
        </w:tabs>
        <w:adjustRightInd w:val="0"/>
        <w:snapToGrid w:val="0"/>
        <w:spacing w:before="0" w:beforeAutospacing="0" w:after="0" w:afterAutospacing="0"/>
        <w:ind w:firstLine="480" w:firstLineChars="200"/>
        <w:jc w:val="both"/>
        <w:rPr>
          <w:rFonts w:ascii="Times New Roman Regular" w:hAnsi="Times New Roman Regular" w:cs="Times New Roman Regular"/>
        </w:rPr>
      </w:pPr>
      <w:r>
        <w:rPr>
          <w:rFonts w:ascii="Times New Roman Regular" w:hAnsi="Times New Roman Regular" w:cs="Times New Roman Regular"/>
        </w:rPr>
        <w:t>建立毕业生质量跟踪制度，本专业2023届本科生就业率稳定在96%以上。通过毕业生质量调查，了解人才培养效果，跟踪人才培养质量。聘请学校外教育教学专家、相关企业同行专家，形成定期例会和不定期交流研讨制度，在专业建设过程中进行阶段性评估。重视毕业生和用人单位反映的情况，既肯定成果，也直面问题，对教学问题进行调整和加强改革措施。加强与毕业生和校友的联系，通过毕业生多渠道收集和了解各方面的信息。加强与社会、企业等用人单位的联系与合作，努力创造条件，通过进行产学研合作等活动，进一步扩大本专业的社会影响，形成良性循环，使本专业毕业生有更大的发展。</w:t>
      </w:r>
    </w:p>
    <w:p>
      <w:pPr>
        <w:pStyle w:val="16"/>
        <w:tabs>
          <w:tab w:val="left" w:pos="8280"/>
        </w:tabs>
        <w:adjustRightInd w:val="0"/>
        <w:snapToGrid w:val="0"/>
        <w:spacing w:before="0" w:beforeAutospacing="0" w:after="0" w:afterAutospacing="0"/>
        <w:ind w:firstLine="480" w:firstLineChars="200"/>
        <w:jc w:val="both"/>
        <w:rPr>
          <w:rFonts w:ascii="Times New Roman Regular" w:hAnsi="Times New Roman Regular" w:cs="Times New Roman Regular"/>
        </w:rPr>
      </w:pPr>
      <w:r>
        <w:rPr>
          <w:rFonts w:ascii="Times New Roman Regular" w:hAnsi="Times New Roman Regular" w:cs="Times New Roman Regular"/>
        </w:rPr>
        <w:t>将思想政治教育贯穿在课程教学中，加强思想政治教育引领，完善人才培养的全过程管理，形成教学理念，将正确的世界观、人生观、价值观传递给学生，使学生具备较强的社会责任感和敬业精神。根据学科特色、优化各类课程比重结构，增加实践课程比例，并严格执行学业预警制度，全程导师制度，对学生进行“一对一”帮扶，定期督导学生，及时反馈信息。并向学生发放调查问卷表，对教学质量进行合理的评估。根据反馈情况，加强系和教研室课程管理，讨论课程设置、课程思政、教材、一流课程、教学成果、教改项目等方面的事宜，对课程教学大纲和培养方案、教师备课、师资及课程管理等问题进行持续改进。</w:t>
      </w:r>
    </w:p>
    <w:p>
      <w:pPr>
        <w:pStyle w:val="4"/>
        <w:spacing w:line="360" w:lineRule="auto"/>
        <w:rPr>
          <w:rFonts w:ascii="Times New Roman Regular" w:hAnsi="Times New Roman Regular" w:eastAsia="宋体" w:cs="Times New Roman Regular"/>
          <w:sz w:val="24"/>
          <w:szCs w:val="24"/>
        </w:rPr>
      </w:pPr>
      <w:bookmarkStart w:id="80" w:name="_Toc1736611646"/>
      <w:r>
        <w:rPr>
          <w:rFonts w:ascii="Times New Roman Regular" w:hAnsi="Times New Roman Regular" w:eastAsia="宋体" w:cs="Times New Roman Regular"/>
          <w:sz w:val="24"/>
          <w:szCs w:val="24"/>
        </w:rPr>
        <w:t>6.4在校生与毕业生满意度</w:t>
      </w:r>
      <w:bookmarkEnd w:id="80"/>
      <w:r>
        <w:rPr>
          <w:rFonts w:ascii="Times New Roman Regular" w:hAnsi="Times New Roman Regular" w:eastAsia="宋体" w:cs="Times New Roman Regular"/>
          <w:sz w:val="24"/>
          <w:szCs w:val="24"/>
        </w:rPr>
        <w:t xml:space="preserve"> </w:t>
      </w:r>
    </w:p>
    <w:p>
      <w:pPr>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物流管理专业培养目标整体设定合理，基本符合学校定位、社会经济发展需求。本专业近五年紧跟国家发挥在那规划，注重培养学生如下几方面能力，近五年（2018届~2023届）毕业生中超过83%的毕业生反映其在读期间以下能力得到提升：</w:t>
      </w:r>
    </w:p>
    <w:p>
      <w:pPr>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物流管理理论和实践知识：培养学生具备扎实的物流管理理论基础和实践操作技能，掌握物流运作的原理、方法和技术，熟悉物流业务流程和管理模式，了解国内外物流市场发展动态。</w:t>
      </w:r>
    </w:p>
    <w:p>
      <w:pPr>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综合管理能力：培养学生具备综合管理能力，包括物流规划、组织、协调、控制和评估等管理要素。学生应具备良好的团队合作能力、领导能力、决策能力和沟通协调能力，能够有效管理物流团队和资源，解决实际物流问题。</w:t>
      </w:r>
    </w:p>
    <w:p>
      <w:pPr>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运营能力：培养学生具备物流运营能力，包括物流供应链管理、运输管理、仓储管理、配送管理等。学生应掌握物流运作的核心环节，能够进行物流网络规划、运输路线优化、仓库布局设计等，实现物流效益最大化。</w:t>
      </w:r>
    </w:p>
    <w:p>
      <w:pPr>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创新能力：培养学生具备创新意识和创新能力，能够通过应用新技术、新方法、新理念解决物流管理中的问题，推动物流业务的创新和发展。学生应具备信息技术应用能力，能够运用物流信息系统进行物流运营管理和决策分析。</w:t>
      </w:r>
    </w:p>
    <w:p>
      <w:pPr>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社会责任意识：培养学生具备社会责任意识，了解物流对环境、经济和社会的影响，具备可持续发展的理念，能够推动绿色物流、低碳物流和社会责任物流的实践。</w:t>
      </w:r>
    </w:p>
    <w:p>
      <w:pPr>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结合本专业在校生专业认知情况来看，本专业学生经常关注与本专业相关的行业热点和前沿动态的比例较低，主要集中在低年级。学校一方面要鼓励学生积极参与，做好宣传活动；另一方面在内容上丰富该专业需要的技能要求、素养要求以及行业前沿动态发展，让学生紧跟时代步伐，了解相关行业最新发展变化。</w:t>
      </w:r>
    </w:p>
    <w:p>
      <w:pPr>
        <w:pStyle w:val="3"/>
        <w:spacing w:after="120" w:line="360" w:lineRule="auto"/>
        <w:jc w:val="left"/>
        <w:rPr>
          <w:rFonts w:ascii="Times New Roman Regular" w:hAnsi="Times New Roman Regular" w:cs="Times New Roman Regular"/>
          <w:sz w:val="28"/>
          <w:szCs w:val="28"/>
        </w:rPr>
      </w:pPr>
      <w:bookmarkStart w:id="81" w:name="_Toc781687945"/>
      <w:r>
        <w:rPr>
          <w:rFonts w:ascii="Times New Roman Regular" w:hAnsi="Times New Roman Regular" w:cs="Times New Roman Regular"/>
          <w:sz w:val="28"/>
          <w:szCs w:val="28"/>
        </w:rPr>
        <w:t>7.学生发展</w:t>
      </w:r>
      <w:bookmarkEnd w:id="81"/>
    </w:p>
    <w:p>
      <w:pPr>
        <w:pStyle w:val="4"/>
        <w:spacing w:line="360" w:lineRule="auto"/>
        <w:rPr>
          <w:rFonts w:ascii="Times New Roman Regular" w:hAnsi="Times New Roman Regular" w:eastAsia="宋体" w:cs="Times New Roman Regular"/>
          <w:sz w:val="24"/>
          <w:szCs w:val="24"/>
        </w:rPr>
      </w:pPr>
      <w:bookmarkStart w:id="82" w:name="_TOC_250024"/>
      <w:bookmarkEnd w:id="82"/>
      <w:bookmarkStart w:id="83" w:name="_Toc1671822916"/>
      <w:r>
        <w:rPr>
          <w:rFonts w:ascii="Times New Roman Regular" w:hAnsi="Times New Roman Regular" w:eastAsia="宋体" w:cs="Times New Roman Regular"/>
          <w:sz w:val="24"/>
          <w:szCs w:val="24"/>
        </w:rPr>
        <w:t>7.1本科在校生数量基本情况</w:t>
      </w:r>
      <w:bookmarkEnd w:id="83"/>
      <w:r>
        <w:rPr>
          <w:rFonts w:ascii="Times New Roman Regular" w:hAnsi="Times New Roman Regular" w:eastAsia="宋体" w:cs="Times New Roman Regular"/>
          <w:sz w:val="24"/>
          <w:szCs w:val="24"/>
        </w:rPr>
        <w:t xml:space="preserve"> </w:t>
      </w:r>
    </w:p>
    <w:p>
      <w:pPr>
        <w:spacing w:line="360" w:lineRule="auto"/>
        <w:jc w:val="center"/>
        <w:rPr>
          <w:rFonts w:ascii="Times New Roman Regular" w:hAnsi="Times New Roman Regular" w:cs="Times New Roman Regular"/>
        </w:rPr>
      </w:pPr>
      <w:r>
        <w:rPr>
          <w:rFonts w:ascii="Times New Roman Regular" w:hAnsi="Times New Roman Regular" w:cs="Times New Roman Regular"/>
        </w:rPr>
        <w:t>表7-1 本科在校生数量基本情况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项目</w:t>
            </w:r>
          </w:p>
        </w:tc>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本科生数</w:t>
            </w:r>
          </w:p>
        </w:tc>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其中：留学生</w:t>
            </w:r>
          </w:p>
        </w:tc>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港澳台侨学生</w:t>
            </w:r>
          </w:p>
        </w:tc>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其中：一年级</w:t>
            </w:r>
          </w:p>
        </w:tc>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二年级</w:t>
            </w:r>
          </w:p>
        </w:tc>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三年级</w:t>
            </w:r>
          </w:p>
        </w:tc>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四年级</w:t>
            </w:r>
          </w:p>
        </w:tc>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其他</w:t>
            </w:r>
          </w:p>
        </w:tc>
        <w:tc>
          <w:tcPr>
            <w:tcW w:w="4148"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w:t>
            </w:r>
          </w:p>
        </w:tc>
      </w:tr>
    </w:tbl>
    <w:p>
      <w:pPr>
        <w:spacing w:line="360" w:lineRule="auto"/>
        <w:ind w:firstLine="480" w:firstLineChars="200"/>
        <w:jc w:val="both"/>
        <w:rPr>
          <w:rFonts w:ascii="Times New Roman Regular" w:hAnsi="Times New Roman Regular" w:cs="Times New Roman Regular"/>
        </w:rPr>
      </w:pPr>
      <w:r>
        <w:rPr>
          <w:rFonts w:ascii="Times New Roman Regular" w:hAnsi="Times New Roman Regular" w:cs="Times New Roman Regular"/>
        </w:rPr>
        <w:t>本专业本科生在校229人，其中留学生1人，一年级58人，二年级54人，三年级57人，四年级57人，其他3人，详情如上表所示。</w:t>
      </w:r>
    </w:p>
    <w:p>
      <w:pPr>
        <w:pStyle w:val="4"/>
        <w:spacing w:line="360" w:lineRule="auto"/>
        <w:rPr>
          <w:rFonts w:ascii="Times New Roman Regular" w:hAnsi="Times New Roman Regular" w:eastAsia="宋体" w:cs="Times New Roman Regular"/>
          <w:sz w:val="24"/>
          <w:szCs w:val="24"/>
        </w:rPr>
      </w:pPr>
      <w:bookmarkStart w:id="84" w:name="_Toc651711864"/>
      <w:r>
        <w:rPr>
          <w:rFonts w:ascii="Times New Roman Regular" w:hAnsi="Times New Roman Regular" w:eastAsia="宋体" w:cs="Times New Roman Regular"/>
          <w:sz w:val="24"/>
          <w:szCs w:val="24"/>
        </w:rPr>
        <w:t>7.2专业招生录取率和新生报到率</w:t>
      </w:r>
      <w:bookmarkEnd w:id="84"/>
    </w:p>
    <w:p>
      <w:pPr>
        <w:spacing w:line="360" w:lineRule="auto"/>
        <w:jc w:val="center"/>
        <w:rPr>
          <w:rFonts w:ascii="Times New Roman Regular" w:hAnsi="Times New Roman Regular" w:cs="Times New Roman Regular"/>
        </w:rPr>
      </w:pPr>
      <w:r>
        <w:rPr>
          <w:rFonts w:ascii="Times New Roman Regular" w:hAnsi="Times New Roman Regular" w:cs="Times New Roman Regular"/>
        </w:rPr>
        <w:t>表7-2 专业招生录取率和新生报到率</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037"/>
        <w:gridCol w:w="1037"/>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招生计划数</w:t>
            </w:r>
          </w:p>
        </w:tc>
        <w:tc>
          <w:tcPr>
            <w:tcW w:w="103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实际录取数</w:t>
            </w:r>
          </w:p>
        </w:tc>
        <w:tc>
          <w:tcPr>
            <w:tcW w:w="103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录取率</w:t>
            </w:r>
          </w:p>
        </w:tc>
        <w:tc>
          <w:tcPr>
            <w:tcW w:w="103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一志愿录取数</w:t>
            </w:r>
          </w:p>
        </w:tc>
        <w:tc>
          <w:tcPr>
            <w:tcW w:w="103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一志愿录取率</w:t>
            </w:r>
          </w:p>
        </w:tc>
        <w:tc>
          <w:tcPr>
            <w:tcW w:w="103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实际报到数</w:t>
            </w:r>
          </w:p>
        </w:tc>
        <w:tc>
          <w:tcPr>
            <w:tcW w:w="103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报到率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58</w:t>
            </w:r>
          </w:p>
        </w:tc>
        <w:tc>
          <w:tcPr>
            <w:tcW w:w="103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58</w:t>
            </w:r>
          </w:p>
        </w:tc>
        <w:tc>
          <w:tcPr>
            <w:tcW w:w="103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100%</w:t>
            </w:r>
          </w:p>
        </w:tc>
        <w:tc>
          <w:tcPr>
            <w:tcW w:w="103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24</w:t>
            </w:r>
          </w:p>
        </w:tc>
        <w:tc>
          <w:tcPr>
            <w:tcW w:w="103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41.38%</w:t>
            </w:r>
          </w:p>
        </w:tc>
        <w:tc>
          <w:tcPr>
            <w:tcW w:w="103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58</w:t>
            </w:r>
          </w:p>
        </w:tc>
        <w:tc>
          <w:tcPr>
            <w:tcW w:w="1037"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100%</w:t>
            </w:r>
          </w:p>
        </w:tc>
      </w:tr>
    </w:tbl>
    <w:p>
      <w:pPr>
        <w:spacing w:line="360" w:lineRule="auto"/>
        <w:rPr>
          <w:rFonts w:ascii="Times New Roman Regular" w:hAnsi="Times New Roman Regular" w:cs="Times New Roman Regular"/>
        </w:rPr>
      </w:pPr>
    </w:p>
    <w:p>
      <w:pPr>
        <w:pStyle w:val="4"/>
        <w:spacing w:line="360" w:lineRule="auto"/>
        <w:rPr>
          <w:rFonts w:ascii="Times New Roman Regular" w:hAnsi="Times New Roman Regular" w:eastAsia="宋体" w:cs="Times New Roman Regular"/>
          <w:sz w:val="24"/>
          <w:szCs w:val="24"/>
        </w:rPr>
      </w:pPr>
      <w:bookmarkStart w:id="85" w:name="_Toc1154698548"/>
      <w:r>
        <w:rPr>
          <w:rFonts w:ascii="Times New Roman Regular" w:hAnsi="Times New Roman Regular" w:eastAsia="宋体" w:cs="Times New Roman Regular"/>
          <w:sz w:val="24"/>
          <w:szCs w:val="24"/>
        </w:rPr>
        <w:t>7.3毕业生毕业率、学位授予率与去向落实率</w:t>
      </w:r>
      <w:bookmarkEnd w:id="85"/>
    </w:p>
    <w:p>
      <w:pPr>
        <w:spacing w:line="360" w:lineRule="auto"/>
        <w:jc w:val="center"/>
        <w:rPr>
          <w:rFonts w:ascii="Times New Roman Regular" w:hAnsi="Times New Roman Regular" w:cs="Times New Roman Regular"/>
        </w:rPr>
      </w:pPr>
      <w:r>
        <w:rPr>
          <w:rFonts w:ascii="Times New Roman Regular" w:hAnsi="Times New Roman Regular" w:cs="Times New Roman Regular"/>
        </w:rPr>
        <w:t>表7-3 毕业生毕业率、学位授予率与去向落实率</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1921"/>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项目</w:t>
            </w:r>
          </w:p>
        </w:tc>
        <w:tc>
          <w:tcPr>
            <w:tcW w:w="192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专业情况</w:t>
            </w:r>
          </w:p>
        </w:tc>
        <w:tc>
          <w:tcPr>
            <w:tcW w:w="326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学校情况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spacing w:line="360" w:lineRule="auto"/>
              <w:jc w:val="center"/>
              <w:rPr>
                <w:rFonts w:ascii="Times New Roman Regular" w:hAnsi="Times New Roman Regular" w:cs="Times New Roman Regular"/>
                <w:sz w:val="21"/>
                <w:szCs w:val="21"/>
              </w:rPr>
            </w:pPr>
            <w:bookmarkStart w:id="86" w:name="OLE_LINK53"/>
            <w:r>
              <w:rPr>
                <w:rFonts w:ascii="Times New Roman Regular" w:hAnsi="Times New Roman Regular" w:cs="Times New Roman Regular"/>
                <w:sz w:val="21"/>
                <w:szCs w:val="21"/>
              </w:rPr>
              <w:t>应届毕业生数</w:t>
            </w:r>
            <w:bookmarkEnd w:id="86"/>
          </w:p>
        </w:tc>
        <w:tc>
          <w:tcPr>
            <w:tcW w:w="192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53</w:t>
            </w:r>
          </w:p>
        </w:tc>
        <w:tc>
          <w:tcPr>
            <w:tcW w:w="326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应届生中未按时毕业数</w:t>
            </w:r>
          </w:p>
        </w:tc>
        <w:tc>
          <w:tcPr>
            <w:tcW w:w="192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bookmarkStart w:id="87" w:name="OLE_LINK54"/>
            <w:bookmarkEnd w:id="87"/>
          </w:p>
        </w:tc>
        <w:tc>
          <w:tcPr>
            <w:tcW w:w="326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spacing w:line="360" w:lineRule="auto"/>
              <w:jc w:val="center"/>
              <w:rPr>
                <w:rFonts w:ascii="Times New Roman Regular" w:hAnsi="Times New Roman Regular" w:cs="Times New Roman Regular"/>
                <w:sz w:val="21"/>
                <w:szCs w:val="21"/>
              </w:rPr>
            </w:pPr>
            <w:bookmarkStart w:id="88" w:name="OLE_LINK52"/>
            <w:r>
              <w:rPr>
                <w:rFonts w:ascii="Times New Roman Regular" w:hAnsi="Times New Roman Regular" w:cs="Times New Roman Regular"/>
                <w:sz w:val="21"/>
                <w:szCs w:val="21"/>
              </w:rPr>
              <w:t>毕业率（%）</w:t>
            </w:r>
            <w:bookmarkEnd w:id="88"/>
            <w:r>
              <w:rPr>
                <w:rFonts w:ascii="Times New Roman Regular" w:hAnsi="Times New Roman Regular" w:cs="Times New Roman Regular"/>
                <w:sz w:val="21"/>
                <w:szCs w:val="21"/>
              </w:rPr>
              <w:t xml:space="preserve"> </w:t>
            </w:r>
          </w:p>
        </w:tc>
        <w:tc>
          <w:tcPr>
            <w:tcW w:w="192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96.36</w:t>
            </w:r>
            <w:bookmarkStart w:id="89" w:name="OLE_LINK51"/>
            <w:bookmarkEnd w:id="89"/>
          </w:p>
        </w:tc>
        <w:tc>
          <w:tcPr>
            <w:tcW w:w="326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90.25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学位授予数</w:t>
            </w:r>
          </w:p>
        </w:tc>
        <w:tc>
          <w:tcPr>
            <w:tcW w:w="192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52</w:t>
            </w:r>
          </w:p>
        </w:tc>
        <w:tc>
          <w:tcPr>
            <w:tcW w:w="326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学位授予率（%） </w:t>
            </w:r>
          </w:p>
        </w:tc>
        <w:tc>
          <w:tcPr>
            <w:tcW w:w="192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98.11</w:t>
            </w:r>
          </w:p>
        </w:tc>
        <w:tc>
          <w:tcPr>
            <w:tcW w:w="326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97.72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去向落实数</w:t>
            </w:r>
          </w:p>
        </w:tc>
        <w:tc>
          <w:tcPr>
            <w:tcW w:w="192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52</w:t>
            </w:r>
          </w:p>
        </w:tc>
        <w:tc>
          <w:tcPr>
            <w:tcW w:w="326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去向落实率（%）</w:t>
            </w:r>
          </w:p>
        </w:tc>
        <w:tc>
          <w:tcPr>
            <w:tcW w:w="192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98.11</w:t>
            </w:r>
          </w:p>
        </w:tc>
        <w:tc>
          <w:tcPr>
            <w:tcW w:w="3261" w:type="dxa"/>
            <w:vAlign w:val="center"/>
          </w:tcPr>
          <w:p>
            <w:pPr>
              <w:spacing w:line="360" w:lineRule="auto"/>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95.87</w:t>
            </w:r>
          </w:p>
        </w:tc>
      </w:tr>
    </w:tbl>
    <w:p>
      <w:pPr>
        <w:spacing w:line="360" w:lineRule="auto"/>
        <w:rPr>
          <w:rFonts w:ascii="Times New Roman Regular" w:hAnsi="Times New Roman Regular" w:cs="Times New Roman Regular"/>
        </w:rPr>
      </w:pPr>
    </w:p>
    <w:p>
      <w:pPr>
        <w:pStyle w:val="4"/>
        <w:spacing w:line="360" w:lineRule="auto"/>
        <w:rPr>
          <w:rFonts w:ascii="Times New Roman Regular" w:hAnsi="Times New Roman Regular" w:eastAsia="宋体" w:cs="Times New Roman Regular"/>
          <w:sz w:val="24"/>
          <w:szCs w:val="24"/>
        </w:rPr>
      </w:pPr>
      <w:bookmarkStart w:id="90" w:name="_Toc208778297"/>
      <w:r>
        <w:rPr>
          <w:rFonts w:ascii="Times New Roman Regular" w:hAnsi="Times New Roman Regular" w:eastAsia="宋体" w:cs="Times New Roman Regular"/>
          <w:sz w:val="24"/>
          <w:szCs w:val="24"/>
        </w:rPr>
        <w:t>7.4学风建设情况</w:t>
      </w:r>
      <w:bookmarkEnd w:id="90"/>
    </w:p>
    <w:p>
      <w:pPr>
        <w:shd w:val="clear" w:color="auto" w:fill="FFFFFF"/>
        <w:adjustRightInd w:val="0"/>
        <w:snapToGrid w:val="0"/>
        <w:spacing w:line="360" w:lineRule="auto"/>
        <w:ind w:firstLine="357"/>
        <w:contextualSpacing/>
        <w:rPr>
          <w:rFonts w:ascii="Times New Roman Regular" w:hAnsi="Times New Roman Regular" w:cs="Times New Roman Regular"/>
          <w:color w:val="333333"/>
        </w:rPr>
      </w:pPr>
      <w:r>
        <w:rPr>
          <w:rFonts w:ascii="Times New Roman Regular" w:hAnsi="Times New Roman Regular" w:cs="Times New Roman Regular"/>
          <w:color w:val="333333"/>
        </w:rPr>
        <w:t>（1）充分发挥规章制度的引导作用</w:t>
      </w:r>
    </w:p>
    <w:p>
      <w:pPr>
        <w:shd w:val="clear" w:color="auto" w:fill="FFFFFF"/>
        <w:adjustRightInd w:val="0"/>
        <w:snapToGrid w:val="0"/>
        <w:spacing w:line="360" w:lineRule="auto"/>
        <w:ind w:firstLine="357"/>
        <w:contextualSpacing/>
        <w:rPr>
          <w:rFonts w:ascii="Times New Roman Regular" w:hAnsi="Times New Roman Regular" w:cs="Times New Roman Regular"/>
          <w:color w:val="333333"/>
        </w:rPr>
      </w:pPr>
      <w:r>
        <w:rPr>
          <w:rFonts w:ascii="Times New Roman Regular" w:hAnsi="Times New Roman Regular" w:cs="Times New Roman Regular"/>
          <w:color w:val="333333"/>
        </w:rPr>
        <w:t>本专业一直重视对学生学风的建设，提高学生遵守校纪校规的自觉性。从新生入学教育开始，本专业就认真组织新生学习《学生手册》、《高等学校学生行为准则》、《高等学校学生管理规定》等规章制度，并组织开展《学生手册》的测试和知识竞赛，加强对新生的校纪校规教育和专业教育，组织开展有关遵守校纪校规和校园精神文明建设的主题活动，引导和教育学生具备良好的思想政治素质和学习生活习惯。并且我们重视毕业生教育，在毕业生离校阶段，组织毕业生开展爱校教育，重温学校的校纪校规，倡导文明离校。本专业加强了对校风校纪的宣传、督导和检查力度,对违纪学生进行处理，体现公平、公正、公开的原则。</w:t>
      </w:r>
    </w:p>
    <w:p>
      <w:pPr>
        <w:shd w:val="clear" w:color="auto" w:fill="FFFFFF"/>
        <w:adjustRightInd w:val="0"/>
        <w:snapToGrid w:val="0"/>
        <w:spacing w:line="360" w:lineRule="auto"/>
        <w:ind w:firstLine="357"/>
        <w:contextualSpacing/>
        <w:rPr>
          <w:rFonts w:ascii="Times New Roman Regular" w:hAnsi="Times New Roman Regular" w:cs="Times New Roman Regular"/>
          <w:color w:val="333333"/>
        </w:rPr>
      </w:pPr>
      <w:r>
        <w:rPr>
          <w:rFonts w:ascii="Times New Roman Regular" w:hAnsi="Times New Roman Regular" w:cs="Times New Roman Regular"/>
          <w:color w:val="333333"/>
        </w:rPr>
        <w:t>本专业认真执行《关于加强学生请假制度》、《课堂管理制度》等规章制度，有效防止了学生迟到、缺课现象，使得本专业主要课程的出勤率一直都保持在95%以上，迟到率控制在5%以下。</w:t>
      </w:r>
    </w:p>
    <w:p>
      <w:pPr>
        <w:shd w:val="clear" w:color="auto" w:fill="FFFFFF"/>
        <w:adjustRightInd w:val="0"/>
        <w:snapToGrid w:val="0"/>
        <w:spacing w:line="360" w:lineRule="auto"/>
        <w:ind w:firstLine="357"/>
        <w:contextualSpacing/>
        <w:rPr>
          <w:rFonts w:ascii="Times New Roman Regular" w:hAnsi="Times New Roman Regular" w:cs="Times New Roman Regular"/>
          <w:color w:val="333333"/>
        </w:rPr>
      </w:pPr>
      <w:r>
        <w:rPr>
          <w:rFonts w:ascii="Times New Roman Regular" w:hAnsi="Times New Roman Regular" w:cs="Times New Roman Regular"/>
          <w:color w:val="333333"/>
        </w:rPr>
        <w:t>（2）探索具有针对性的分级管理方法</w:t>
      </w:r>
    </w:p>
    <w:p>
      <w:pPr>
        <w:shd w:val="clear" w:color="auto" w:fill="FFFFFF"/>
        <w:adjustRightInd w:val="0"/>
        <w:snapToGrid w:val="0"/>
        <w:spacing w:line="360" w:lineRule="auto"/>
        <w:ind w:firstLine="357"/>
        <w:contextualSpacing/>
        <w:rPr>
          <w:rFonts w:ascii="Times New Roman Regular" w:hAnsi="Times New Roman Regular" w:cs="Times New Roman Regular"/>
          <w:color w:val="333333"/>
        </w:rPr>
      </w:pPr>
      <w:r>
        <w:rPr>
          <w:rFonts w:ascii="Times New Roman Regular" w:hAnsi="Times New Roman Regular" w:cs="Times New Roman Regular"/>
          <w:color w:val="333333"/>
        </w:rPr>
        <w:t>本专业根据年级特点实施不同的教育措施，为学生的全面发展成长成才服务。对于一年级学生，实施“一日科学化”制度，督导学生养成良好的生活学习习惯；对于二年级学生，重点以“加强教学联系，掌握个别情况，明确奖惩措施，确保学习时间”为原则，抓好学生的四、六级英语及计算机过级考试，几年来，取得了明显的成绩；对于三年级学生，大力支持考研并加强对其学业生涯发展的指导；对于四年级学生，加强就业指导。通过上述努力，本专业在校的四个年级形成了良好的学习风气，绝大多数学生能坚持早、晚自学。</w:t>
      </w:r>
    </w:p>
    <w:p>
      <w:pPr>
        <w:shd w:val="clear" w:color="auto" w:fill="FFFFFF"/>
        <w:adjustRightInd w:val="0"/>
        <w:snapToGrid w:val="0"/>
        <w:spacing w:line="360" w:lineRule="auto"/>
        <w:ind w:firstLine="357"/>
        <w:contextualSpacing/>
        <w:rPr>
          <w:rFonts w:ascii="Times New Roman Regular" w:hAnsi="Times New Roman Regular" w:cs="Times New Roman Regular"/>
          <w:color w:val="333333"/>
        </w:rPr>
      </w:pPr>
      <w:r>
        <w:rPr>
          <w:rFonts w:ascii="Times New Roman Regular" w:hAnsi="Times New Roman Regular" w:cs="Times New Roman Regular"/>
          <w:color w:val="333333"/>
        </w:rPr>
        <w:t>（3）不断优化激励机制</w:t>
      </w:r>
    </w:p>
    <w:p>
      <w:pPr>
        <w:shd w:val="clear" w:color="auto" w:fill="FFFFFF"/>
        <w:adjustRightInd w:val="0"/>
        <w:snapToGrid w:val="0"/>
        <w:spacing w:line="360" w:lineRule="auto"/>
        <w:ind w:firstLine="357"/>
        <w:contextualSpacing/>
        <w:rPr>
          <w:rFonts w:ascii="Times New Roman Regular" w:hAnsi="Times New Roman Regular" w:cs="Times New Roman Regular"/>
          <w:color w:val="333333"/>
        </w:rPr>
      </w:pPr>
      <w:r>
        <w:rPr>
          <w:rFonts w:ascii="Times New Roman Regular" w:hAnsi="Times New Roman Regular" w:cs="Times New Roman Regular"/>
          <w:color w:val="333333"/>
        </w:rPr>
        <w:t>良好的激励机制对于开展学风建设具有较强的促进作用。本专业积极参加学风建设先进班级及文明宿舍评比活动，在学生中开展学习之星、奖学金、学风建设优秀学生干部等评选活动，在教师中开展教师教学能力竞赛、学风建设优秀工作者、优秀班主任、优秀辅导员等评选活动。并且大力宣传学风建设先进事迹和先进集体、先进个人。通过以上举措，本专业形成了较好的学习氛围。</w:t>
      </w:r>
    </w:p>
    <w:p>
      <w:pPr>
        <w:shd w:val="clear" w:color="auto" w:fill="FFFFFF"/>
        <w:adjustRightInd w:val="0"/>
        <w:snapToGrid w:val="0"/>
        <w:spacing w:line="360" w:lineRule="auto"/>
        <w:ind w:firstLine="357"/>
        <w:contextualSpacing/>
        <w:rPr>
          <w:rFonts w:ascii="Times New Roman Regular" w:hAnsi="Times New Roman Regular" w:cs="Times New Roman Regular"/>
          <w:color w:val="333333"/>
        </w:rPr>
      </w:pPr>
      <w:r>
        <w:rPr>
          <w:rFonts w:ascii="Times New Roman Regular" w:hAnsi="Times New Roman Regular" w:cs="Times New Roman Regular"/>
          <w:color w:val="333333"/>
        </w:rPr>
        <w:t>（4）加强学生理想信念方面的教育</w:t>
      </w:r>
    </w:p>
    <w:p>
      <w:pPr>
        <w:shd w:val="clear" w:color="auto" w:fill="FFFFFF"/>
        <w:adjustRightInd w:val="0"/>
        <w:snapToGrid w:val="0"/>
        <w:spacing w:line="360" w:lineRule="auto"/>
        <w:ind w:firstLine="357"/>
        <w:contextualSpacing/>
        <w:rPr>
          <w:rFonts w:hint="eastAsia" w:ascii="Times New Roman Regular" w:hAnsi="Times New Roman Regular" w:cs="Times New Roman Regular"/>
          <w:color w:val="333333"/>
        </w:rPr>
      </w:pPr>
      <w:r>
        <w:rPr>
          <w:rFonts w:ascii="Times New Roman Regular" w:hAnsi="Times New Roman Regular" w:cs="Times New Roman Regular"/>
          <w:color w:val="333333"/>
        </w:rPr>
        <w:t>本专业通过专业课的课程思政、学业导师的全程育人等方法来加强学生理想信念方面的教育，帮助学生树立正确的价值观、道德观、人生观，树立远大的理想抱负，为中华民族伟大复兴贡献自己的微薄之力。本专业在理想信念教育中，贴近学生实际，结合他们关注的焦点与热点问题，科学引领他们树立正确的人生目标，注重自身价值的实现，关注学生的前途命运、生命价值，促使他们认真学习专业课程知识的同时，能够健康成长。本专业还将学风建设工作融入到日常开展的其他工作中，比如，党员“ 教育、培养、发展”工作，不断规范学生行为，培养更多良好的品质。</w:t>
      </w:r>
    </w:p>
    <w:p>
      <w:pPr>
        <w:pStyle w:val="3"/>
        <w:spacing w:after="120" w:line="360" w:lineRule="auto"/>
        <w:jc w:val="left"/>
        <w:rPr>
          <w:rFonts w:ascii="Times New Roman Regular" w:hAnsi="Times New Roman Regular" w:cs="Times New Roman Regular"/>
          <w:sz w:val="28"/>
          <w:szCs w:val="28"/>
        </w:rPr>
      </w:pPr>
      <w:bookmarkStart w:id="91" w:name="_Toc2096042128"/>
      <w:r>
        <w:rPr>
          <w:rFonts w:ascii="Times New Roman Regular" w:hAnsi="Times New Roman Regular" w:cs="Times New Roman Regular"/>
          <w:sz w:val="28"/>
          <w:szCs w:val="28"/>
        </w:rPr>
        <w:t>8.特色发展与案例</w:t>
      </w:r>
      <w:bookmarkEnd w:id="91"/>
    </w:p>
    <w:p>
      <w:pPr>
        <w:shd w:val="clear" w:color="auto" w:fill="FFFFFF"/>
        <w:adjustRightInd w:val="0"/>
        <w:snapToGrid w:val="0"/>
        <w:spacing w:line="360" w:lineRule="auto"/>
        <w:ind w:firstLine="495"/>
        <w:rPr>
          <w:rFonts w:ascii="Times New Roman Regular" w:hAnsi="Times New Roman Regular" w:cs="Times New Roman Regular"/>
        </w:rPr>
      </w:pPr>
      <w:bookmarkStart w:id="92" w:name="_Hlk124625445"/>
      <w:r>
        <w:rPr>
          <w:rFonts w:ascii="Times New Roman Regular" w:hAnsi="Times New Roman Regular" w:cs="Times New Roman Regular"/>
          <w:color w:val="333333"/>
        </w:rPr>
        <w:t>物流管理专业教学工作呈现出复合型人才培养模式、多样化教学方法与手段、凸显冷链特色、线上与线下教学结合，注重实践教育四大特点，在全体老师的共同努力下，物流管理专业的教学水平和培养质量持续增强，取得了一定的经验</w:t>
      </w:r>
      <w:r>
        <w:rPr>
          <w:rFonts w:ascii="Times New Roman Regular" w:hAnsi="Times New Roman Regular" w:cs="Times New Roman Regular"/>
        </w:rPr>
        <w:t>。</w:t>
      </w:r>
    </w:p>
    <w:bookmarkEnd w:id="92"/>
    <w:p>
      <w:pPr>
        <w:pStyle w:val="4"/>
        <w:spacing w:before="0" w:after="0" w:line="360" w:lineRule="auto"/>
        <w:rPr>
          <w:rFonts w:ascii="Times New Roman Regular" w:hAnsi="Times New Roman Regular" w:eastAsia="宋体" w:cs="Times New Roman Regular"/>
          <w:sz w:val="24"/>
          <w:szCs w:val="24"/>
        </w:rPr>
      </w:pPr>
      <w:bookmarkStart w:id="93" w:name="_Toc124514169"/>
      <w:bookmarkStart w:id="94" w:name="_Toc858299908"/>
      <w:bookmarkStart w:id="95" w:name="_Toc103862122"/>
      <w:r>
        <w:rPr>
          <w:rFonts w:ascii="Times New Roman Regular" w:hAnsi="Times New Roman Regular" w:eastAsia="宋体" w:cs="Times New Roman Regular"/>
          <w:sz w:val="24"/>
          <w:szCs w:val="24"/>
        </w:rPr>
        <w:t>8.1主要经验</w:t>
      </w:r>
      <w:bookmarkEnd w:id="93"/>
      <w:bookmarkEnd w:id="94"/>
      <w:bookmarkEnd w:id="95"/>
    </w:p>
    <w:p>
      <w:pPr>
        <w:shd w:val="clear" w:color="auto" w:fill="FFFFFF"/>
        <w:adjustRightInd w:val="0"/>
        <w:snapToGrid w:val="0"/>
        <w:spacing w:line="360" w:lineRule="auto"/>
        <w:ind w:firstLine="495"/>
        <w:rPr>
          <w:rFonts w:ascii="Times New Roman Regular" w:hAnsi="Times New Roman Regular" w:cs="Times New Roman Regular"/>
        </w:rPr>
      </w:pPr>
      <w:bookmarkStart w:id="96" w:name="_Hlk124625483"/>
      <w:r>
        <w:rPr>
          <w:rFonts w:ascii="Times New Roman Regular" w:hAnsi="Times New Roman Regular" w:cs="Times New Roman Regular"/>
        </w:rPr>
        <w:t>（1）复合型人才培养模式</w:t>
      </w:r>
    </w:p>
    <w:p>
      <w:pPr>
        <w:shd w:val="clear" w:color="auto" w:fill="FFFFFF"/>
        <w:adjustRightInd w:val="0"/>
        <w:snapToGrid w:val="0"/>
        <w:spacing w:line="360" w:lineRule="auto"/>
        <w:ind w:firstLine="495"/>
        <w:rPr>
          <w:rFonts w:ascii="Times New Roman Regular" w:hAnsi="Times New Roman Regular" w:cs="Times New Roman Regular"/>
        </w:rPr>
      </w:pPr>
      <w:r>
        <w:rPr>
          <w:rFonts w:ascii="Times New Roman Regular" w:hAnsi="Times New Roman Regular" w:cs="Times New Roman Regular"/>
        </w:rPr>
        <w:t>培养具备适应现代国际化企业工作的综合素质人才，全方位、多途径培养学生综合能力素养，一是科学合理设置专业培养方案，让学生具备综合管理类知识和能力。二是教学过程中，教师们通过不断的教学改革，创新教学方法，充实教学资源，让学生专业知识更加扎实全面，并能够利用所学知识对综合问题进行深入分析和解决问题，具备物流专业能力素养。三是积极组织学生参加专业相关比赛，以赛促练，提升学生解决实际问题的能力。</w:t>
      </w:r>
    </w:p>
    <w:p>
      <w:pPr>
        <w:shd w:val="clear" w:color="auto" w:fill="FFFFFF"/>
        <w:adjustRightInd w:val="0"/>
        <w:snapToGrid w:val="0"/>
        <w:spacing w:line="360" w:lineRule="auto"/>
        <w:ind w:firstLine="495"/>
        <w:rPr>
          <w:rFonts w:ascii="Times New Roman Regular" w:hAnsi="Times New Roman Regular" w:cs="Times New Roman Regular"/>
        </w:rPr>
      </w:pPr>
      <w:r>
        <w:rPr>
          <w:rFonts w:ascii="Times New Roman Regular" w:hAnsi="Times New Roman Regular" w:cs="Times New Roman Regular"/>
        </w:rPr>
        <w:t>（2）多样化教学方法与手段</w:t>
      </w:r>
    </w:p>
    <w:p>
      <w:pPr>
        <w:shd w:val="clear" w:color="auto" w:fill="FFFFFF"/>
        <w:adjustRightInd w:val="0"/>
        <w:snapToGrid w:val="0"/>
        <w:spacing w:line="360" w:lineRule="auto"/>
        <w:ind w:firstLine="495"/>
        <w:rPr>
          <w:rFonts w:ascii="Times New Roman Regular" w:hAnsi="Times New Roman Regular" w:cs="Times New Roman Regular"/>
        </w:rPr>
      </w:pPr>
      <w:r>
        <w:rPr>
          <w:rFonts w:ascii="Times New Roman Regular" w:hAnsi="Times New Roman Regular" w:cs="Times New Roman Regular"/>
        </w:rPr>
        <w:t>运用研究导向型教学、课堂互动式教学、案例教学、分组讨论、模拟实习多样化的课堂教学方法，鼓励学生主动参与教学。学生还可通过大量查阅资料、参与社会实践与调研来完成学习过程，充分培养学生自我学习的能力。同时，为了提高“学”与“教”的互动性，教师还充分利用在线教学平台系统，实现了师生网上辅导答疑、个别辅导、传输资料等功能，有力地促进了教学。</w:t>
      </w:r>
    </w:p>
    <w:p>
      <w:pPr>
        <w:shd w:val="clear" w:color="auto" w:fill="FFFFFF"/>
        <w:adjustRightInd w:val="0"/>
        <w:snapToGrid w:val="0"/>
        <w:spacing w:line="360" w:lineRule="auto"/>
        <w:ind w:firstLine="495"/>
        <w:rPr>
          <w:rFonts w:ascii="Times New Roman Regular" w:hAnsi="Times New Roman Regular" w:cs="Times New Roman Regular"/>
        </w:rPr>
      </w:pPr>
      <w:r>
        <w:rPr>
          <w:rFonts w:ascii="Times New Roman Regular" w:hAnsi="Times New Roman Regular" w:cs="Times New Roman Regular"/>
        </w:rPr>
        <w:t>（3）凸显冷链物流专业特色</w:t>
      </w:r>
    </w:p>
    <w:p>
      <w:pPr>
        <w:shd w:val="clear" w:color="auto" w:fill="FFFFFF"/>
        <w:adjustRightInd w:val="0"/>
        <w:snapToGrid w:val="0"/>
        <w:spacing w:line="360" w:lineRule="auto"/>
        <w:ind w:firstLine="495"/>
        <w:rPr>
          <w:rFonts w:ascii="Times New Roman Regular" w:hAnsi="Times New Roman Regular" w:cs="Times New Roman Regular"/>
        </w:rPr>
      </w:pPr>
      <w:r>
        <w:rPr>
          <w:rFonts w:ascii="Times New Roman Regular" w:hAnsi="Times New Roman Regular" w:cs="Times New Roman Regular"/>
        </w:rPr>
        <w:t>一是聚焦冷链作为物流专业的特色方向，让学生掌握冷链物流的基本概念、原理和方法，培养熟悉相关操作流程、注意事项、相关标准、装备设施等，懂得物联网技术、冷链物流信息化技术并当前的VR虚拟化技术，同时冷链流程安排、技术制定、管理操作、标准规范体系，熟悉生鲜品运输及冷链物流，熟悉生鲜品冷库仓储、生鲜品等智能供应链全流程的复合型管理人才。</w:t>
      </w:r>
    </w:p>
    <w:p>
      <w:pPr>
        <w:shd w:val="clear" w:color="auto" w:fill="FFFFFF"/>
        <w:adjustRightInd w:val="0"/>
        <w:snapToGrid w:val="0"/>
        <w:spacing w:line="360" w:lineRule="auto"/>
        <w:ind w:firstLine="495"/>
        <w:rPr>
          <w:rFonts w:ascii="Times New Roman Regular" w:hAnsi="Times New Roman Regular" w:cs="Times New Roman Regular"/>
        </w:rPr>
      </w:pPr>
      <w:r>
        <w:rPr>
          <w:rFonts w:ascii="Times New Roman Regular" w:hAnsi="Times New Roman Regular" w:cs="Times New Roman Regular"/>
        </w:rPr>
        <w:t>二是以教材建设为突破口，梳理冷链物流特色课程理论体系，充分利用冷链物流行业资源，针对行业急需的热点难点，设计科学合理的冷链物流管理教材，并由冷链物流相关专家对教材编写提出宝贵指导意见。在教材案例的选取方面，也结合企业实际问题，将学科知识体系与企业实际需求相结合，通过分析探讨解决方案，让学生能够活学活用所学理论知识。</w:t>
      </w:r>
    </w:p>
    <w:p>
      <w:pPr>
        <w:shd w:val="clear" w:color="auto" w:fill="FFFFFF"/>
        <w:adjustRightInd w:val="0"/>
        <w:snapToGrid w:val="0"/>
        <w:spacing w:line="360" w:lineRule="auto"/>
        <w:ind w:firstLine="495"/>
        <w:rPr>
          <w:rFonts w:ascii="Times New Roman Regular" w:hAnsi="Times New Roman Regular" w:cs="Times New Roman Regular"/>
        </w:rPr>
      </w:pPr>
      <w:r>
        <w:rPr>
          <w:rFonts w:ascii="Times New Roman Regular" w:hAnsi="Times New Roman Regular" w:cs="Times New Roman Regular"/>
        </w:rPr>
        <w:t>（4）线上线下相结合，注重实践教育</w:t>
      </w:r>
    </w:p>
    <w:p>
      <w:pPr>
        <w:shd w:val="clear" w:color="auto" w:fill="FFFFFF"/>
        <w:adjustRightInd w:val="0"/>
        <w:snapToGrid w:val="0"/>
        <w:spacing w:line="360" w:lineRule="auto"/>
        <w:ind w:firstLine="495"/>
        <w:rPr>
          <w:rFonts w:ascii="Times New Roman Regular" w:hAnsi="Times New Roman Regular" w:cs="Times New Roman Regular"/>
        </w:rPr>
      </w:pPr>
      <w:r>
        <w:rPr>
          <w:rFonts w:ascii="Times New Roman Regular" w:hAnsi="Times New Roman Regular" w:cs="Times New Roman Regular"/>
        </w:rPr>
        <w:t>通过实验室建设，丰富线上线下教学情境资源，我校采用“实体温控实验室+线上虚拟仿真系统”的模式。首先，由本专业教师与软件公司联合开发拥有自主知识产权的虚拟仿真软件，克服传统理论教学不够直观的缺点，并通过虚拟仿真软件的学习，检验和巩固相应理论知识。其次，联合行业龙头企业共同打造冷链教育科研创新实验室，由冷链企业赞助设备并提供温控技术及设备管理经验，即可用于教学也可利用线上系统数据进行科研。提供学生校内实训平台，实现产学研创相结合，强调专业教学与实践操练相结合，培养学生的实践能力、应用能力、创新能力。</w:t>
      </w:r>
    </w:p>
    <w:p>
      <w:pPr>
        <w:shd w:val="clear" w:color="auto" w:fill="FFFFFF"/>
        <w:adjustRightInd w:val="0"/>
        <w:snapToGrid w:val="0"/>
        <w:spacing w:line="360" w:lineRule="auto"/>
        <w:ind w:firstLine="495"/>
        <w:rPr>
          <w:rFonts w:ascii="Times New Roman Regular" w:hAnsi="Times New Roman Regular" w:cs="Times New Roman Regular"/>
          <w:b/>
          <w:bCs/>
        </w:rPr>
      </w:pPr>
      <w:r>
        <w:rPr>
          <w:rFonts w:ascii="Times New Roman Regular" w:hAnsi="Times New Roman Regular" w:cs="Times New Roman Regular"/>
        </w:rPr>
        <w:t>同时，通过产学研合作反哺课程改革，利用产学合作单位经营场所，通过寒暑期产学合作，让学生深入企业参与实习，通过校内、校外综合评价方式，既让学生了解行业运作方式，也通过企业对学生情况的反馈及评价，不断改革课程教学内容，使课堂教学能够紧跟物流发展最新动态，培育优秀物流人才。</w:t>
      </w:r>
    </w:p>
    <w:bookmarkEnd w:id="96"/>
    <w:p>
      <w:pPr>
        <w:pStyle w:val="4"/>
        <w:spacing w:before="0" w:after="0" w:line="360" w:lineRule="auto"/>
        <w:rPr>
          <w:rFonts w:ascii="Times New Roman Regular" w:hAnsi="Times New Roman Regular" w:eastAsia="宋体" w:cs="Times New Roman Regular"/>
          <w:sz w:val="24"/>
          <w:szCs w:val="24"/>
        </w:rPr>
      </w:pPr>
      <w:bookmarkStart w:id="97" w:name="_Toc124514170"/>
      <w:bookmarkStart w:id="98" w:name="_Toc103862123"/>
      <w:bookmarkStart w:id="99" w:name="_Toc798896857"/>
      <w:r>
        <w:rPr>
          <w:rFonts w:ascii="Times New Roman Regular" w:hAnsi="Times New Roman Regular" w:eastAsia="宋体" w:cs="Times New Roman Regular"/>
          <w:sz w:val="24"/>
          <w:szCs w:val="24"/>
        </w:rPr>
        <w:t>8.2典型案例</w:t>
      </w:r>
      <w:bookmarkEnd w:id="97"/>
      <w:bookmarkEnd w:id="98"/>
      <w:bookmarkEnd w:id="99"/>
    </w:p>
    <w:p>
      <w:pPr>
        <w:adjustRightInd w:val="0"/>
        <w:snapToGrid w:val="0"/>
        <w:spacing w:line="360" w:lineRule="auto"/>
        <w:ind w:firstLine="360"/>
        <w:rPr>
          <w:rFonts w:ascii="Times New Roman Regular" w:hAnsi="Times New Roman Regular" w:cs="Times New Roman Regular"/>
        </w:rPr>
      </w:pPr>
      <w:bookmarkStart w:id="100" w:name="_Hlk124625531"/>
      <w:r>
        <w:rPr>
          <w:rFonts w:ascii="Times New Roman Regular" w:hAnsi="Times New Roman Regular" w:cs="Times New Roman Regular"/>
        </w:rPr>
        <w:t>物流管理专业从学校“工程应用型特色大学”的基本定位出发，制定了“以研促学、以产助学、产教相长、实践为先”的总体教学方针，着力采用行业前沿、贴近物流企业实践的内容拓宽教学资源、改进教学方法；依托供应链研究院专家资源库，通过产学研合作的方式着力培养学生的实践学习能力，提升专业的人才培养定位和质量。具体案例体现在以下四个方向：</w:t>
      </w:r>
    </w:p>
    <w:p>
      <w:pPr>
        <w:numPr>
          <w:ilvl w:val="0"/>
          <w:numId w:val="2"/>
        </w:numPr>
        <w:adjustRightInd w:val="0"/>
        <w:snapToGrid w:val="0"/>
        <w:spacing w:line="360" w:lineRule="auto"/>
        <w:ind w:firstLine="360"/>
        <w:rPr>
          <w:rFonts w:ascii="Times New Roman Regular" w:hAnsi="Times New Roman Regular" w:cs="Times New Roman Regular"/>
        </w:rPr>
      </w:pPr>
      <w:r>
        <w:rPr>
          <w:rFonts w:ascii="Times New Roman Regular" w:hAnsi="Times New Roman Regular" w:cs="Times New Roman Regular"/>
        </w:rPr>
        <w:t>承办绿色供应链与逆向物流设计大赛</w:t>
      </w:r>
    </w:p>
    <w:p>
      <w:pPr>
        <w:adjustRightInd w:val="0"/>
        <w:snapToGrid w:val="0"/>
        <w:spacing w:line="360" w:lineRule="auto"/>
        <w:ind w:firstLine="360"/>
        <w:rPr>
          <w:rFonts w:ascii="Times New Roman Regular" w:hAnsi="Times New Roman Regular" w:cs="Times New Roman Regular"/>
        </w:rPr>
      </w:pPr>
      <w:r>
        <w:rPr>
          <w:rFonts w:ascii="Times New Roman Regular" w:hAnsi="Times New Roman Regular" w:cs="Times New Roman Regular"/>
        </w:rPr>
        <w:t>与上海第二工业大学联合主办“云丰杯”全国绿色供应链与逆向物流大赛，以培养大学生观察思考、知识运用、组织策划和动手实践能力。得到上海市教育委员会、上海市运筹学会、上海市交通工程学会指导。这一系列赛事致力于推动应用型、复合型、技能型绿色供应链与逆向物流人才培养，服务区域产业发展。通过改革，旨在充分发挥高等教育的引领作用，展现了当代大学生的专业技能和创新精神。</w:t>
      </w:r>
    </w:p>
    <w:p>
      <w:pPr>
        <w:numPr>
          <w:ilvl w:val="0"/>
          <w:numId w:val="2"/>
        </w:numPr>
        <w:shd w:val="clear" w:color="auto" w:fill="FFFFFF"/>
        <w:adjustRightInd w:val="0"/>
        <w:snapToGrid w:val="0"/>
        <w:spacing w:line="360" w:lineRule="auto"/>
        <w:ind w:firstLine="360"/>
        <w:rPr>
          <w:rFonts w:ascii="Times New Roman Regular" w:hAnsi="Times New Roman Regular" w:cs="Times New Roman Regular"/>
        </w:rPr>
      </w:pPr>
      <w:r>
        <w:rPr>
          <w:rFonts w:ascii="Times New Roman Regular" w:hAnsi="Times New Roman Regular" w:cs="Times New Roman Regular"/>
        </w:rPr>
        <w:t>邀请行业专家为培养计划制定出谋划策</w:t>
      </w:r>
    </w:p>
    <w:p>
      <w:pPr>
        <w:adjustRightInd w:val="0"/>
        <w:snapToGrid w:val="0"/>
        <w:spacing w:line="360" w:lineRule="auto"/>
        <w:ind w:firstLine="360"/>
        <w:rPr>
          <w:rFonts w:ascii="Times New Roman Regular" w:hAnsi="Times New Roman Regular" w:cs="Times New Roman Regular"/>
        </w:rPr>
      </w:pPr>
      <w:r>
        <w:rPr>
          <w:rFonts w:ascii="Times New Roman Regular" w:hAnsi="Times New Roman Regular" w:cs="Times New Roman Regular"/>
        </w:rPr>
        <w:t>培养计划的合理性决定了物流专业学生在毕业达标时所具备的具体专业能力。在培养计划修订时，依托供应链研究院专家资源库，认真听取行业专家的意见，将培养高品质人才必备的专业素养和实践能力转化为专业的课程体系。从以上方法论出发，专业的新版培养计划调整了课程比重，增设了冷链物流相关的一系列特色专业课程，提高了以案例式、实验式和实践式教学为主的课程比例；并敦促一线专业教师积极修订课程大纲，增设课内实验，以培养计划和课程大纲的方式从源头上贴近物流企业实践的实际需求和行业发展的新近趋势。</w:t>
      </w:r>
    </w:p>
    <w:p>
      <w:pPr>
        <w:numPr>
          <w:ilvl w:val="0"/>
          <w:numId w:val="2"/>
        </w:numPr>
        <w:shd w:val="clear" w:color="auto" w:fill="FFFFFF"/>
        <w:adjustRightInd w:val="0"/>
        <w:snapToGrid w:val="0"/>
        <w:spacing w:line="360" w:lineRule="auto"/>
        <w:ind w:firstLine="360"/>
        <w:rPr>
          <w:rFonts w:ascii="Times New Roman Regular" w:hAnsi="Times New Roman Regular" w:cs="Times New Roman Regular"/>
        </w:rPr>
      </w:pPr>
      <w:r>
        <w:rPr>
          <w:rFonts w:ascii="Times New Roman Regular" w:hAnsi="Times New Roman Regular" w:cs="Times New Roman Regular"/>
        </w:rPr>
        <w:t>开展线上线下混合式课程实验体系建设</w:t>
      </w:r>
    </w:p>
    <w:p>
      <w:pPr>
        <w:adjustRightInd w:val="0"/>
        <w:snapToGrid w:val="0"/>
        <w:spacing w:line="360" w:lineRule="auto"/>
        <w:ind w:firstLine="480"/>
        <w:rPr>
          <w:rFonts w:ascii="Times New Roman Regular" w:hAnsi="Times New Roman Regular" w:cs="Times New Roman Regular"/>
        </w:rPr>
      </w:pPr>
      <w:r>
        <w:rPr>
          <w:rFonts w:ascii="Times New Roman Regular" w:hAnsi="Times New Roman Regular" w:cs="Times New Roman Regular"/>
        </w:rPr>
        <w:t>通过我校教师自主知识产权，委托软件公司开发；购买成熟工业级仿真软件应用于教学实践；通过网络远程利用国内公司开发的教学资源这样“三管齐下”的方式，本学科充分掌握了开展课内实验和专业课程设计实验所需求的虚拟仿真教学资源，为虚仿物流实验室建设做出了贡献。其中，线上教学资源在日常教学中的利用频率逐年增加。我校自主知识产权的线上虚拟仿真实验“中央厨房应用场景下端到端一体化第三方冷链虚拟仿真实验”获得了上海市一流本科课程殊荣，正在参加国家“金课”系列的评比；“基于智能合约的城市应急保供冷链系统虚拟仿真实验”则正在申请上海市的一流本科课程。这些自主知识产权的虚拟仿真实验项目有效支撑了学科的课程体系。</w:t>
      </w:r>
    </w:p>
    <w:p>
      <w:pPr>
        <w:numPr>
          <w:ilvl w:val="0"/>
          <w:numId w:val="2"/>
        </w:numPr>
        <w:shd w:val="clear" w:color="auto" w:fill="FFFFFF"/>
        <w:adjustRightInd w:val="0"/>
        <w:snapToGrid w:val="0"/>
        <w:spacing w:line="360" w:lineRule="auto"/>
        <w:ind w:firstLine="360"/>
        <w:rPr>
          <w:rFonts w:ascii="Times New Roman Regular" w:hAnsi="Times New Roman Regular" w:cs="Times New Roman Regular"/>
        </w:rPr>
      </w:pPr>
      <w:r>
        <w:rPr>
          <w:rFonts w:ascii="Times New Roman Regular" w:hAnsi="Times New Roman Regular" w:cs="Times New Roman Regular"/>
        </w:rPr>
        <w:t>通过校企合作多方式开展实习实践教学</w:t>
      </w:r>
    </w:p>
    <w:p>
      <w:pPr>
        <w:adjustRightInd w:val="0"/>
        <w:snapToGrid w:val="0"/>
        <w:spacing w:line="360" w:lineRule="auto"/>
        <w:ind w:firstLine="360"/>
        <w:rPr>
          <w:rFonts w:ascii="Times New Roman Regular" w:hAnsi="Times New Roman Regular" w:cs="Times New Roman Regular"/>
        </w:rPr>
      </w:pPr>
      <w:r>
        <w:rPr>
          <w:rFonts w:ascii="Times New Roman Regular" w:hAnsi="Times New Roman Regular" w:cs="Times New Roman Regular"/>
        </w:rPr>
        <w:t>依托供应链研究院的企业资源，面向大二、大三年级具有企业实践实习需求的学生，采用“专业内部择优推荐＋企业面试选拔”的形式展开学生驻企实习实践活动。实习满一学期相当于主持一项大学生创新项目并可冲抵创新学分。同时，企业为毕业生开具产学合作单位实习证明，作为评奖评优的加分项目。受到今年疫情的影响，学生就业难度加大，在此背景下校企合作单位为我校的在读学生和毕业生提供了众多实习和就业岗位，我校毕业生的专业实践能力也获得了实习和就业单位的一致认可，校企合作成果显著。</w:t>
      </w:r>
    </w:p>
    <w:p>
      <w:pPr>
        <w:numPr>
          <w:ilvl w:val="0"/>
          <w:numId w:val="2"/>
        </w:numPr>
        <w:adjustRightInd w:val="0"/>
        <w:snapToGrid w:val="0"/>
        <w:spacing w:line="360" w:lineRule="auto"/>
        <w:ind w:firstLine="360"/>
        <w:rPr>
          <w:rFonts w:ascii="Times New Roman Regular" w:hAnsi="Times New Roman Regular" w:cs="Times New Roman Regular"/>
        </w:rPr>
      </w:pPr>
      <w:r>
        <w:rPr>
          <w:rFonts w:ascii="Times New Roman Regular" w:hAnsi="Times New Roman Regular" w:cs="Times New Roman Regular"/>
        </w:rPr>
        <w:t>聘请企业导师全程参与教学指导</w:t>
      </w:r>
    </w:p>
    <w:p>
      <w:pPr>
        <w:adjustRightInd w:val="0"/>
        <w:snapToGrid w:val="0"/>
        <w:spacing w:line="360" w:lineRule="auto"/>
        <w:ind w:firstLine="360"/>
        <w:rPr>
          <w:rFonts w:ascii="Times New Roman Regular" w:hAnsi="Times New Roman Regular" w:cs="Times New Roman Regular"/>
        </w:rPr>
      </w:pPr>
      <w:r>
        <w:rPr>
          <w:rFonts w:ascii="Times New Roman Regular" w:hAnsi="Times New Roman Regular" w:cs="Times New Roman Regular"/>
        </w:rPr>
        <w:t>主要体现在以下三个方面：一是由企业导师进行专业导论授课和开展专业课讲座，在日常教学活动中融入企业实践的具体业务内容，使得课程教学更加贴近行业前沿和企业现实业务逻辑；再是依托企业实际项目需求，鼓励学生独立或联合参与各类专业竞赛和创新创业项目，邀请企业导师共同担任竞赛辅导教师，使得所报题目能够更加贴近企业实际需求；最后是校企合作指导毕业论文，通过与企业导师的沟通协调，根据企业实际项目构思毕业论文题目，由校内学业导师和企业导师共同担任毕业论文指导教师，提升理论联系实践的能力。</w:t>
      </w:r>
      <w:bookmarkEnd w:id="100"/>
    </w:p>
    <w:p>
      <w:pPr>
        <w:pStyle w:val="3"/>
        <w:spacing w:before="0" w:after="0" w:line="360" w:lineRule="auto"/>
        <w:jc w:val="left"/>
        <w:rPr>
          <w:rFonts w:ascii="Times New Roman Regular" w:hAnsi="Times New Roman Regular" w:cs="Times New Roman Regular"/>
          <w:sz w:val="28"/>
          <w:szCs w:val="28"/>
        </w:rPr>
      </w:pPr>
      <w:bookmarkStart w:id="101" w:name="_Toc991714555"/>
      <w:r>
        <w:rPr>
          <w:rFonts w:ascii="Times New Roman Regular" w:hAnsi="Times New Roman Regular" w:cs="Times New Roman Regular"/>
          <w:sz w:val="28"/>
          <w:szCs w:val="28"/>
        </w:rPr>
        <w:t>9.问题与对策</w:t>
      </w:r>
      <w:bookmarkEnd w:id="101"/>
    </w:p>
    <w:p>
      <w:pPr>
        <w:pStyle w:val="4"/>
        <w:spacing w:before="0" w:after="0" w:line="360" w:lineRule="auto"/>
        <w:rPr>
          <w:rFonts w:ascii="Times New Roman Regular" w:hAnsi="Times New Roman Regular" w:eastAsia="宋体" w:cs="Times New Roman Regular"/>
          <w:sz w:val="24"/>
          <w:szCs w:val="24"/>
        </w:rPr>
      </w:pPr>
      <w:bookmarkStart w:id="102" w:name="_Toc1125941518"/>
      <w:r>
        <w:rPr>
          <w:rFonts w:ascii="Times New Roman Regular" w:hAnsi="Times New Roman Regular" w:eastAsia="宋体" w:cs="Times New Roman Regular"/>
          <w:sz w:val="24"/>
          <w:szCs w:val="24"/>
        </w:rPr>
        <w:t>9.1存在问题</w:t>
      </w:r>
      <w:bookmarkEnd w:id="102"/>
    </w:p>
    <w:p>
      <w:pPr>
        <w:adjustRightInd w:val="0"/>
        <w:snapToGrid w:val="0"/>
        <w:spacing w:line="360" w:lineRule="auto"/>
        <w:ind w:firstLine="360"/>
        <w:rPr>
          <w:rFonts w:ascii="Times New Roman Regular" w:hAnsi="Times New Roman Regular" w:cs="Times New Roman Regular"/>
        </w:rPr>
      </w:pPr>
      <w:r>
        <w:rPr>
          <w:rFonts w:ascii="Times New Roman Regular" w:hAnsi="Times New Roman Regular" w:cs="Times New Roman Regular"/>
        </w:rPr>
        <w:t>立足于一流工程应用型特色大学的总目标，本专业将学科建设瞄准产业发展的新兴业态，贴近企业与社会的需求，实行错位发展。而如何体现本专业适应性、应用性的办学模式，是我们一直在思考的问题。在发展过程中，我们也在不断总结本专业的不足，提出改进措施。本专业在发展中坚持两个基本原则：办学目标要扎根区域经济社会发展之中；办学模式要具有鲜明的针对性、适应性、应用性特色。经过十余年发展，我校物流管理专业取得了一定的成绩，但与国内外标杆物流专业相比，在专业特色突显、教学质量持续改进及教学团队结构等方面仍然存在一定的差距，主要表现在：</w:t>
      </w:r>
    </w:p>
    <w:p>
      <w:pPr>
        <w:pStyle w:val="5"/>
        <w:spacing w:before="0" w:after="0" w:line="360" w:lineRule="auto"/>
        <w:rPr>
          <w:rFonts w:ascii="Times New Roman Regular" w:hAnsi="Times New Roman Regular" w:cs="Times New Roman Regular"/>
          <w:b w:val="0"/>
          <w:bCs w:val="0"/>
          <w:sz w:val="24"/>
          <w:szCs w:val="24"/>
        </w:rPr>
      </w:pPr>
      <w:r>
        <w:rPr>
          <w:rFonts w:ascii="Times New Roman Regular" w:hAnsi="Times New Roman Regular" w:cs="Times New Roman Regular"/>
          <w:b w:val="0"/>
          <w:bCs w:val="0"/>
          <w:sz w:val="24"/>
          <w:szCs w:val="24"/>
        </w:rPr>
        <w:t>9.1.1 冷链物流专业特色初显，影响力有待提高</w:t>
      </w:r>
    </w:p>
    <w:p>
      <w:pPr>
        <w:adjustRightInd w:val="0"/>
        <w:snapToGrid w:val="0"/>
        <w:spacing w:line="360" w:lineRule="auto"/>
        <w:ind w:firstLine="360"/>
        <w:rPr>
          <w:rFonts w:ascii="Times New Roman Regular" w:hAnsi="Times New Roman Regular" w:cs="Times New Roman Regular"/>
        </w:rPr>
      </w:pPr>
      <w:r>
        <w:rPr>
          <w:rFonts w:ascii="Times New Roman Regular" w:hAnsi="Times New Roman Regular" w:cs="Times New Roman Regular"/>
        </w:rPr>
        <w:t>物流管理专业在前期工作的基础上，已经初步明确了发展定位及发展特色。即，以冷链物流为特色的综合型供应链物流管理人才培养专业。但目前本专业在同类高校中的知名度还有待提高。因此必须扩大开放力度、开阔视野、突破瓶颈，走对外开放、加强合作与交流之路，这也是高等院校自身发展的客观需要。</w:t>
      </w:r>
    </w:p>
    <w:p>
      <w:pPr>
        <w:adjustRightInd w:val="0"/>
        <w:snapToGrid w:val="0"/>
        <w:spacing w:line="360" w:lineRule="auto"/>
        <w:ind w:firstLine="360"/>
        <w:rPr>
          <w:rFonts w:ascii="Times New Roman Regular" w:hAnsi="Times New Roman Regular" w:cs="Times New Roman Regular"/>
        </w:rPr>
      </w:pPr>
      <w:r>
        <w:rPr>
          <w:rFonts w:ascii="Times New Roman Regular" w:hAnsi="Times New Roman Regular" w:cs="Times New Roman Regular"/>
        </w:rPr>
        <w:t>物流管理专业为实现特色发展、打造精品专业、进一步形成我校物流管理专业人才培养的口碑，创出我校冷链物流特色，需要在发展中学习、借鉴、吸收国内外先进教育理念、管理模式，深化教育改革，在与国内外相关物流行业的交往、合作中加速人才培养模式创新、改进教学方式方法、加快提高物流人才培养质量，加大专业发展特色程度。</w:t>
      </w:r>
    </w:p>
    <w:p>
      <w:pPr>
        <w:adjustRightInd w:val="0"/>
        <w:snapToGrid w:val="0"/>
        <w:spacing w:line="360" w:lineRule="auto"/>
        <w:ind w:firstLine="360"/>
        <w:rPr>
          <w:rFonts w:ascii="Times New Roman Regular" w:hAnsi="Times New Roman Regular" w:cs="Times New Roman Regular"/>
        </w:rPr>
      </w:pPr>
      <w:r>
        <w:rPr>
          <w:rFonts w:ascii="Times New Roman Regular" w:hAnsi="Times New Roman Regular" w:cs="Times New Roman Regular"/>
        </w:rPr>
        <w:t>目前，国外内很多高校的物流管理专业在人才培养过程中已纷纷开始尝试人才培养新模式，提出了“双轨制培养”、“柔性复合化培训体系”、“双导师制”等多种形式，通过多样化的方式探索专业人才培养特色路径。例如，上海海事大学以“地方性、应用型、港航性”的办学定位和其物流管理专业“能力型、创新型、务实型”的培养目标，综合运用多种形式，培养具有较强的企业物流管理实际应用能力，从事仓储管理、物流配送、国际货运代理业务等相关工作的高等技术应用型专门人才，取得良好成效，提供了较好的经验借鉴。因此，本专业也在找准自身定位的基础上，进一步提高人才培养目标与社会需求的契合度，尤其是当今互联网等新技术飞速发展的新时代，培养具有特色专业素养的复合型人才成为本专业今后发展的重中之重。</w:t>
      </w:r>
    </w:p>
    <w:p>
      <w:pPr>
        <w:pStyle w:val="5"/>
        <w:spacing w:before="0" w:after="0" w:line="360" w:lineRule="auto"/>
        <w:rPr>
          <w:rFonts w:ascii="Times New Roman Regular" w:hAnsi="Times New Roman Regular" w:cs="Times New Roman Regular"/>
          <w:b w:val="0"/>
          <w:bCs w:val="0"/>
          <w:sz w:val="24"/>
          <w:szCs w:val="24"/>
        </w:rPr>
      </w:pPr>
      <w:r>
        <w:rPr>
          <w:rFonts w:ascii="Times New Roman Regular" w:hAnsi="Times New Roman Regular" w:cs="Times New Roman Regular"/>
          <w:b w:val="0"/>
          <w:bCs w:val="0"/>
          <w:sz w:val="24"/>
          <w:szCs w:val="24"/>
        </w:rPr>
        <w:t>9.1.2 教学质量持续改进闭环机制有待完善</w:t>
      </w:r>
    </w:p>
    <w:p>
      <w:pPr>
        <w:adjustRightInd w:val="0"/>
        <w:snapToGrid w:val="0"/>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专业人才培养是系统性的工程，需建立专业教学质量持续改进的机制，通过对专业建设和运行的整个过程进行周期性的评价，及时反馈专业建设和运行中出现的问题，有针对性地调整方向和措施，并根据评估结果调整举措。具体问题如下：</w:t>
      </w:r>
    </w:p>
    <w:p>
      <w:pPr>
        <w:adjustRightInd w:val="0"/>
        <w:snapToGrid w:val="0"/>
        <w:spacing w:line="360" w:lineRule="auto"/>
        <w:ind w:firstLine="420"/>
        <w:rPr>
          <w:rFonts w:ascii="Times New Roman Regular" w:hAnsi="Times New Roman Regular" w:cs="Times New Roman Regular"/>
        </w:rPr>
      </w:pPr>
      <w:r>
        <w:rPr>
          <w:rFonts w:ascii="Times New Roman Regular" w:hAnsi="Times New Roman Regular" w:cs="Times New Roman Regular"/>
        </w:rPr>
        <w:t>（1）教学质量目标设计未突出专业特色。专业培养计划局限于专业人才培养方案的制定，培养方案又集中于课程体系的设置，且内容大同小异未体现本专业特色。培养目标也千篇一律，多体现在培养掌握管理学相关知识，能够在各领域从事物流管理工作的人才。人才培养目标应更具体、更有针对性，体现自身的学科特色。应从社会需求出发，根据学生毕业反馈专业成就调整人才培养目标，并由此确定学生毕业时应具有的知识、能力和素质；进而确定课程教学目标、教学环节、达成度等具体内容。</w:t>
      </w:r>
    </w:p>
    <w:p>
      <w:pPr>
        <w:adjustRightInd w:val="0"/>
        <w:snapToGrid w:val="0"/>
        <w:spacing w:line="360" w:lineRule="auto"/>
        <w:ind w:firstLine="420"/>
        <w:rPr>
          <w:rFonts w:ascii="Times New Roman Regular" w:hAnsi="Times New Roman Regular" w:cs="Times New Roman Regular"/>
        </w:rPr>
      </w:pPr>
      <w:r>
        <w:rPr>
          <w:rFonts w:ascii="Times New Roman Regular" w:hAnsi="Times New Roman Regular" w:cs="Times New Roman Regular"/>
        </w:rPr>
        <w:t>（2）教学质量建设过程与特色资源融合不充分。教学方式普遍以教师为中心的课堂讲授为主，学生是知识灌输式的被动学习；实践教学中学生多以拿到学分为目标，缺少对于实践性本质的教育导向，未能充分利用本专业密切联系的物流行业资源，教学方法有待创新。</w:t>
      </w:r>
    </w:p>
    <w:p>
      <w:pPr>
        <w:adjustRightInd w:val="0"/>
        <w:snapToGrid w:val="0"/>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3）教学质量监控机制有待改进。教学质量监控工作主要包括学生和督导评教，而学生评教的现实情况是评价“教师”，并非评价“教学”，主观性明显；其次，学生评教一般在学期末开展，学生评教往往具有随意性，评教结果反馈也存在滞后性。此外，督导团队以退休教师为主体，精力有限，且资历和经验水平参差不齐，教学督导工作成效受限。</w:t>
      </w:r>
    </w:p>
    <w:p>
      <w:pPr>
        <w:pStyle w:val="5"/>
        <w:spacing w:before="0" w:after="0" w:line="360" w:lineRule="auto"/>
        <w:rPr>
          <w:rFonts w:ascii="Times New Roman Regular" w:hAnsi="Times New Roman Regular" w:cs="Times New Roman Regular"/>
          <w:b w:val="0"/>
          <w:bCs w:val="0"/>
          <w:sz w:val="24"/>
          <w:szCs w:val="24"/>
        </w:rPr>
      </w:pPr>
      <w:r>
        <w:rPr>
          <w:rFonts w:ascii="Times New Roman Regular" w:hAnsi="Times New Roman Regular" w:cs="Times New Roman Regular"/>
          <w:b w:val="0"/>
          <w:bCs w:val="0"/>
          <w:sz w:val="24"/>
          <w:szCs w:val="24"/>
        </w:rPr>
        <w:t>9.1.3 教师队伍梯队建设有待完善</w:t>
      </w:r>
    </w:p>
    <w:p>
      <w:pPr>
        <w:adjustRightInd w:val="0"/>
        <w:snapToGrid w:val="0"/>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物流管理专业在我国开设历史较短，1994年北京物资学院开办了国内高校的第一个物流管理专业；2004年北京交通大学成为国家首批正式批准的有权授予物流领域工程硕士学位的单位；国内物流专业博士的培养也仅十余年历史。同时，物流管理专业是一个实践性较强的专业，教师对本行业的了解将一定程度影响到教师的授课质量。要适应物流专业的进一步发展、缩小与国内外一流物流专业的差距，国际化、“双师型”教师队伍建设仍需加强，主要表现在：</w:t>
      </w:r>
    </w:p>
    <w:p>
      <w:pPr>
        <w:adjustRightInd w:val="0"/>
        <w:snapToGrid w:val="0"/>
        <w:spacing w:line="360" w:lineRule="auto"/>
        <w:ind w:firstLine="420"/>
        <w:rPr>
          <w:rFonts w:ascii="Times New Roman Regular" w:hAnsi="Times New Roman Regular" w:cs="Times New Roman Regular"/>
        </w:rPr>
      </w:pPr>
      <w:r>
        <w:rPr>
          <w:rFonts w:ascii="Times New Roman Regular" w:hAnsi="Times New Roman Regular" w:cs="Times New Roman Regular"/>
        </w:rPr>
        <w:t>（1）“双师型”教师的缺乏是国内物流管理专业中存在的一个普遍问题，本专业具有丰富物流知识与企业管理实践的“双师型”教师与专业进一步发展的要求相比仍然相对不足。我校物流管理专业一直重视教师队伍建设，近年来专业教师的数量和质量都有了较大提高，新进教师均获得了博士学位，虽然本专业近年来已陆续送出部分教师到物流企业挂职锻炼，但要缩小与国内外一流物流专业的差距，高水平的“双师型”教师仍然相对不足。</w:t>
      </w:r>
    </w:p>
    <w:p>
      <w:pPr>
        <w:adjustRightInd w:val="0"/>
        <w:snapToGrid w:val="0"/>
        <w:spacing w:line="360" w:lineRule="auto"/>
        <w:ind w:firstLine="420"/>
        <w:rPr>
          <w:rFonts w:ascii="Times New Roman Regular" w:hAnsi="Times New Roman Regular" w:cs="Times New Roman Regular"/>
        </w:rPr>
      </w:pPr>
      <w:r>
        <w:rPr>
          <w:rFonts w:ascii="Times New Roman Regular" w:hAnsi="Times New Roman Regular" w:cs="Times New Roman Regular"/>
        </w:rPr>
        <w:t>（2）本专业在本学科的领域内具有较大影响力的学者缺乏。虽然专业师资队伍能够满足物流管理专业本科教育的需要，但仍缺少领域内在国内外具有较大影响力的学者。为进一步提升专业知名度，必须要吸引具有国际背景的专家学者来校从事教学、科研工作。学校要面向世界，向世界开放，聘请世界一流专家到本专业任教，引进国外学科的前沿成果，引进先进的课程和教材，进一步加强本专业的学术底蕴，让科研为教学源源不断补充活水。</w:t>
      </w:r>
    </w:p>
    <w:p>
      <w:pPr>
        <w:pStyle w:val="5"/>
        <w:spacing w:before="0" w:after="0" w:line="360" w:lineRule="auto"/>
        <w:rPr>
          <w:rFonts w:ascii="Times New Roman Regular" w:hAnsi="Times New Roman Regular" w:cs="Times New Roman Regular"/>
          <w:b w:val="0"/>
          <w:bCs w:val="0"/>
          <w:sz w:val="24"/>
          <w:szCs w:val="24"/>
        </w:rPr>
      </w:pPr>
      <w:r>
        <w:rPr>
          <w:rFonts w:ascii="Times New Roman Regular" w:hAnsi="Times New Roman Regular" w:cs="Times New Roman Regular"/>
          <w:b w:val="0"/>
          <w:bCs w:val="0"/>
          <w:sz w:val="24"/>
          <w:szCs w:val="24"/>
        </w:rPr>
        <w:t>9.1.4 学生综合能力素养仍需提升</w:t>
      </w:r>
    </w:p>
    <w:p>
      <w:pPr>
        <w:adjustRightInd w:val="0"/>
        <w:snapToGrid w:val="0"/>
        <w:spacing w:line="360" w:lineRule="auto"/>
        <w:ind w:firstLine="420" w:firstLineChars="175"/>
        <w:rPr>
          <w:rFonts w:ascii="Times New Roman Regular" w:hAnsi="Times New Roman Regular" w:cs="Times New Roman Regular"/>
        </w:rPr>
      </w:pPr>
      <w:r>
        <w:rPr>
          <w:rFonts w:ascii="Times New Roman Regular" w:hAnsi="Times New Roman Regular" w:cs="Times New Roman Regular"/>
        </w:rPr>
        <w:t>随着“互联网+”与各行业的深入融合与VUCA时代的到来，多学科交叉的时代趋势在各行各业都有所体现，复合型人才的需求显著增加，对学生的要求也进一步提高，物流管理专业的学生，不仅要具备物流管理专业知识，更需要具备通识类知识以及多元文化的综合应用能力，并养成科学思维的习惯。然而,目前仍然有相当一部分学生认为通识性知识不是本专业必修课程，忽视了其重要性，更善于被动学习，而非主动学习；许多学生缺乏创新精神，学习主动性欠缺。</w:t>
      </w:r>
    </w:p>
    <w:p>
      <w:pPr>
        <w:adjustRightInd w:val="0"/>
        <w:snapToGrid w:val="0"/>
        <w:spacing w:line="360" w:lineRule="auto"/>
        <w:ind w:firstLine="420" w:firstLineChars="175"/>
        <w:rPr>
          <w:rFonts w:ascii="Times New Roman Regular" w:hAnsi="Times New Roman Regular" w:cs="Times New Roman Regular"/>
        </w:rPr>
      </w:pPr>
      <w:r>
        <w:rPr>
          <w:rFonts w:ascii="Times New Roman Regular" w:hAnsi="Times New Roman Regular" w:cs="Times New Roman Regular"/>
        </w:rPr>
        <w:t>在学习方法上，学生习惯了上课听讲、考试复习的传统教学模式，不适应社会调研、案例分析与虚拟仿真实验等需要主动参与的教学形式，在实际教学中，很多教师都发现学生不能够综合运用所学知识对具体问题进行分析。因此，如何使学生转变观念，从传统的单一专业学习模式转换到多学科自主学习模式是高等教育教学中亟待解决的一个问题。</w:t>
      </w:r>
    </w:p>
    <w:p>
      <w:pPr>
        <w:pStyle w:val="4"/>
        <w:spacing w:before="0" w:after="0" w:line="360" w:lineRule="auto"/>
        <w:rPr>
          <w:rFonts w:ascii="Times New Roman Regular" w:hAnsi="Times New Roman Regular" w:eastAsia="宋体" w:cs="Times New Roman Regular"/>
          <w:sz w:val="24"/>
          <w:szCs w:val="24"/>
        </w:rPr>
      </w:pPr>
      <w:bookmarkStart w:id="103" w:name="_Toc73195662"/>
      <w:r>
        <w:rPr>
          <w:rFonts w:ascii="Times New Roman Regular" w:hAnsi="Times New Roman Regular" w:eastAsia="宋体" w:cs="Times New Roman Regular"/>
          <w:sz w:val="24"/>
          <w:szCs w:val="24"/>
        </w:rPr>
        <w:t>9.2 改进对策</w:t>
      </w:r>
      <w:bookmarkEnd w:id="103"/>
    </w:p>
    <w:p>
      <w:pPr>
        <w:adjustRightInd w:val="0"/>
        <w:snapToGrid w:val="0"/>
        <w:spacing w:line="360" w:lineRule="auto"/>
        <w:ind w:firstLine="420"/>
        <w:rPr>
          <w:rFonts w:ascii="Times New Roman Regular" w:hAnsi="Times New Roman Regular" w:cs="Times New Roman Regular"/>
        </w:rPr>
      </w:pPr>
      <w:r>
        <w:rPr>
          <w:rFonts w:ascii="Times New Roman Regular" w:hAnsi="Times New Roman Regular" w:cs="Times New Roman Regular"/>
        </w:rPr>
        <w:t>虽然，在本专业日常教学中，学生都能够适应学校与老师的要求，完成各项学业，并顺利毕业。但如何提高学生的专业认知、加强学习主动性和积极性，是本专业教学团队在近三年中一直致力解决的问题。</w:t>
      </w:r>
    </w:p>
    <w:p>
      <w:pPr>
        <w:adjustRightInd w:val="0"/>
        <w:snapToGrid w:val="0"/>
        <w:spacing w:line="360" w:lineRule="auto"/>
        <w:ind w:firstLine="420"/>
        <w:rPr>
          <w:rFonts w:ascii="Times New Roman Regular" w:hAnsi="Times New Roman Regular" w:cs="Times New Roman Regular"/>
        </w:rPr>
      </w:pPr>
      <w:r>
        <w:rPr>
          <w:rFonts w:ascii="Times New Roman Regular" w:hAnsi="Times New Roman Regular" w:cs="Times New Roman Regular"/>
        </w:rPr>
        <w:t>针对上述问题，本专业在建设过程中提出四点改进对策如下：</w:t>
      </w:r>
    </w:p>
    <w:p>
      <w:pPr>
        <w:pStyle w:val="5"/>
        <w:spacing w:before="0" w:after="0" w:line="360" w:lineRule="auto"/>
        <w:rPr>
          <w:rFonts w:ascii="Times New Roman Regular" w:hAnsi="Times New Roman Regular" w:cs="Times New Roman Regular"/>
          <w:b w:val="0"/>
          <w:bCs w:val="0"/>
          <w:sz w:val="24"/>
          <w:szCs w:val="24"/>
        </w:rPr>
      </w:pPr>
      <w:r>
        <w:rPr>
          <w:rFonts w:ascii="Times New Roman Regular" w:hAnsi="Times New Roman Regular" w:cs="Times New Roman Regular"/>
          <w:b w:val="0"/>
          <w:bCs w:val="0"/>
          <w:sz w:val="24"/>
          <w:szCs w:val="24"/>
        </w:rPr>
        <w:t>9.2.1 鼓励教师及学生参与学科竞赛和企业实习，提升物流管理专业影响力并深化冷链物流特色</w:t>
      </w:r>
    </w:p>
    <w:p>
      <w:pPr>
        <w:adjustRightInd w:val="0"/>
        <w:snapToGrid w:val="0"/>
        <w:spacing w:line="360" w:lineRule="auto"/>
        <w:ind w:firstLine="360"/>
        <w:rPr>
          <w:rFonts w:ascii="Times New Roman Regular" w:hAnsi="Times New Roman Regular" w:cs="Times New Roman Regular"/>
        </w:rPr>
      </w:pPr>
      <w:r>
        <w:rPr>
          <w:rFonts w:ascii="Times New Roman Regular" w:hAnsi="Times New Roman Regular" w:cs="Times New Roman Regular"/>
        </w:rPr>
        <w:t>（1）物流管理专业与上海郑明现代物流有限公司等物流企业共同建立了校企合作平台，为大三大四的学生提供冷链物流企业实习机会，并通过成立上海工程技术大学供应链研究院等机构进行冷链物流相关研究，持续深化冷链物流特色并提高影响力，鼓励教师携研究成果参加有影响力的各类论坛及发表高水平论文，并紧密依托供应链研究院资源，优化教学内容，改进教学方式。通过供应链研究院开展的相关科研活动为优化教学内容提供了可能，也可以通过研究院的学术交流提升我校物流专业在冷链行业的知名度。具体激励机制包括：一是鼓励教师利用科研成果更新教学内容，设立教案评估制度，并与教学考核相结合。二是尝试建立科研成果进教材的工作机制，鼓励教师将最新科研成果融入教材，同样辅之以相应的考核、评估和奖励。三是探索建立科研成果转化为课程的工作机制，开设反映学术前沿的选修课。四是支持教师结合承担的科研课题，指导本科生的毕业设计（论文），使学生了解和掌握最新的冷链物流技术及行业发展动态。五是探索科研团队、行业专家进入课堂，开展多样化授课方式，开展互动式、参与式的课堂教学。</w:t>
      </w:r>
    </w:p>
    <w:p>
      <w:pPr>
        <w:adjustRightInd w:val="0"/>
        <w:snapToGrid w:val="0"/>
        <w:spacing w:line="360" w:lineRule="auto"/>
        <w:ind w:firstLine="360"/>
        <w:rPr>
          <w:rFonts w:ascii="Times New Roman Regular" w:hAnsi="Times New Roman Regular" w:cs="Times New Roman Regular"/>
        </w:rPr>
      </w:pPr>
      <w:r>
        <w:rPr>
          <w:rFonts w:ascii="Times New Roman Regular" w:hAnsi="Times New Roman Regular" w:cs="Times New Roman Regular"/>
        </w:rPr>
        <w:t>（2）鼓励学生参加物流行业各类大赛，以赛促练，促进学生创新能力培养。通过参加竞赛或科研活动中增加学生的参与工作，带动学生参与科研项目、提升创新能力的有效方法。科研实践制度的建立可以以下几个方面展开：第一，探索建立所有科研项目向高年级学生开放的制度，实现科研活动与知识学习的对接。具体可以设计两个层面的制度：首先保障一部分有研究能力的学生直接进入物流相关课题组开展紧密型的科研工作；其次对大部分学生而言是辅助型参与，参与方式可以是文献查阅与整理、旁听科研团队的讨论；再次，通过供应链研究院平台组织的各项冷链物流活动让学生密切接触冷链物流领域最新科研动态。第二，建立学生课外科技活动与科研活动相对接制度，学生的课外科技立项研究项目可直接来源于教师课题；也可以将教师科研内容的一部分交由学生去独立研究，并参与科技竞赛活动，建立与完善在校内全覆盖的各级各类课外科技竞赛体系。</w:t>
      </w:r>
    </w:p>
    <w:p>
      <w:pPr>
        <w:pStyle w:val="5"/>
        <w:spacing w:before="0" w:after="0" w:line="360" w:lineRule="auto"/>
        <w:rPr>
          <w:rFonts w:ascii="Times New Roman Regular" w:hAnsi="Times New Roman Regular" w:cs="Times New Roman Regular"/>
          <w:b w:val="0"/>
          <w:bCs w:val="0"/>
          <w:sz w:val="24"/>
          <w:szCs w:val="24"/>
        </w:rPr>
      </w:pPr>
      <w:r>
        <w:rPr>
          <w:rFonts w:ascii="Times New Roman Regular" w:hAnsi="Times New Roman Regular" w:cs="Times New Roman Regular"/>
          <w:b w:val="0"/>
          <w:bCs w:val="0"/>
          <w:sz w:val="24"/>
          <w:szCs w:val="24"/>
        </w:rPr>
        <w:t>9.2.2 多种方式相结合深化物流管理专业教学质量改进</w:t>
      </w:r>
    </w:p>
    <w:p>
      <w:pPr>
        <w:adjustRightInd w:val="0"/>
        <w:snapToGrid w:val="0"/>
        <w:spacing w:line="360" w:lineRule="auto"/>
        <w:ind w:firstLine="360"/>
        <w:rPr>
          <w:rFonts w:ascii="Times New Roman Regular" w:hAnsi="Times New Roman Regular" w:cs="Times New Roman Regular"/>
        </w:rPr>
      </w:pPr>
      <w:r>
        <w:rPr>
          <w:rFonts w:ascii="Times New Roman Regular" w:hAnsi="Times New Roman Regular" w:cs="Times New Roman Regular"/>
        </w:rPr>
        <w:t>（1）教学内容的建设。物流管理专业教学应更加突出结合行业实际，在课程标准、结构、内容等方面与社会需求的岗位能力、职业标准等有效融合，以社会需求为导向，立足长远，深化培养适应性强的专业人才。在教学内容方面不拘泥于书本教学，要通过深入的学习和研究，结合具体实际，有计划地修订教学大纲，制定适合学生成长特点的教学内容。共享优秀的网络教学资源，从实际情况编写讲义和教学方案，让学生参与到学习互动中，提高学生学习的积极性，培养学生自主创新的能力。在课程建设上，要与时俱进选择优秀教材，所选教材应综合考虑学生实际能力，既要符合物流管理专业理论内容，也要符合实际教学，保证学生学有所得。另外，还要发挥教学评估以及教学督导制的实际作用，充分调动教师对专业教学的重视。</w:t>
      </w:r>
    </w:p>
    <w:p>
      <w:pPr>
        <w:pStyle w:val="5"/>
        <w:spacing w:before="0" w:after="0" w:line="360" w:lineRule="auto"/>
        <w:rPr>
          <w:rFonts w:ascii="Times New Roman Regular" w:hAnsi="Times New Roman Regular" w:cs="Times New Roman Regular"/>
          <w:b w:val="0"/>
          <w:bCs w:val="0"/>
          <w:sz w:val="24"/>
          <w:szCs w:val="24"/>
        </w:rPr>
      </w:pPr>
      <w:r>
        <w:rPr>
          <w:rFonts w:ascii="Times New Roman Regular" w:hAnsi="Times New Roman Regular" w:cs="Times New Roman Regular"/>
          <w:b w:val="0"/>
          <w:bCs w:val="0"/>
          <w:sz w:val="24"/>
          <w:szCs w:val="24"/>
        </w:rPr>
        <w:t>9.2.3 强化人才引领作用，持续推动师资队伍质量提升</w:t>
      </w:r>
    </w:p>
    <w:p>
      <w:pPr>
        <w:adjustRightInd w:val="0"/>
        <w:snapToGrid w:val="0"/>
        <w:spacing w:line="360" w:lineRule="auto"/>
        <w:ind w:firstLine="420"/>
        <w:rPr>
          <w:rFonts w:ascii="Times New Roman Regular" w:hAnsi="Times New Roman Regular" w:cs="Times New Roman Regular"/>
        </w:rPr>
      </w:pPr>
      <w:r>
        <w:rPr>
          <w:rFonts w:ascii="Times New Roman Regular" w:hAnsi="Times New Roman Regular" w:cs="Times New Roman Regular"/>
        </w:rPr>
        <w:t>物流管理专业将进一步采取“人才引进+自主培养+联合培养+专家外聘四位一体相结合”的措施，加强高水平师资队伍建设：</w:t>
      </w:r>
    </w:p>
    <w:p>
      <w:pPr>
        <w:adjustRightInd w:val="0"/>
        <w:snapToGrid w:val="0"/>
        <w:spacing w:line="360" w:lineRule="auto"/>
        <w:ind w:firstLine="420"/>
        <w:rPr>
          <w:rFonts w:ascii="Times New Roman Regular" w:hAnsi="Times New Roman Regular" w:cs="Times New Roman Regular"/>
        </w:rPr>
      </w:pPr>
      <w:r>
        <w:rPr>
          <w:rFonts w:ascii="Times New Roman Regular" w:hAnsi="Times New Roman Regular" w:cs="Times New Roman Regular"/>
        </w:rPr>
        <w:t>（1）实施“人才引进计划”：目前，专业已经引进毕业于新加坡国立大学、拥有15年500强公司美国制冷企业高管经验，时任浙江英诺绿能科技有限公司的总经理和首席科学家的顾众博士作为学科带头人，继续加大优秀人才引进力度，引进高层次人才，进一步改善师资队伍结构；重点吸引国内外知名大学学者、教授和优秀青年人才加盟。</w:t>
      </w:r>
    </w:p>
    <w:p>
      <w:pPr>
        <w:adjustRightInd w:val="0"/>
        <w:snapToGrid w:val="0"/>
        <w:spacing w:line="360" w:lineRule="auto"/>
        <w:ind w:firstLine="420"/>
        <w:rPr>
          <w:rFonts w:ascii="Times New Roman Regular" w:hAnsi="Times New Roman Regular" w:cs="Times New Roman Regular"/>
        </w:rPr>
      </w:pPr>
      <w:r>
        <w:rPr>
          <w:rFonts w:ascii="Times New Roman Regular" w:hAnsi="Times New Roman Regular" w:cs="Times New Roman Regular"/>
        </w:rPr>
        <w:t>（2）扩大教师“培养、进修”范围：将一批高学历、具有较高理论知识的青年教师派到企业，进行实践技能和职业素养培训，以增加教师实践知识、实践能力和工程实践经验；利用校际交流、国家留学基金委等资源，选派教师出国（境）进修学习。</w:t>
      </w:r>
    </w:p>
    <w:p>
      <w:pPr>
        <w:shd w:val="clear" w:color="auto" w:fill="FFFFFF"/>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3）加大“外聘”力度：聘任兼职教师是改善现有专业师资结构、加强实践教学环节的有效途径，特别是聘任有丰富行业经验的专家型师资。目前，目前物流专业聘请冷链物流领域有着丰富经验的顾众博士为专业学科带头人，为本专业人才培养、实验室建设等方面做出了积极的贡献。未来5年，将利用供应链研究院聘请的专家资源库，聘请更多企业专家、高级技术人员和行业精英，加大“校企合作教学”力度，进一步增强教学的实效性和针对性。</w:t>
      </w:r>
    </w:p>
    <w:p>
      <w:pPr>
        <w:pStyle w:val="5"/>
        <w:spacing w:before="0" w:after="0" w:line="360" w:lineRule="auto"/>
        <w:rPr>
          <w:rFonts w:ascii="Times New Roman Regular" w:hAnsi="Times New Roman Regular" w:cs="Times New Roman Regular"/>
          <w:b w:val="0"/>
          <w:bCs w:val="0"/>
          <w:sz w:val="24"/>
          <w:szCs w:val="24"/>
        </w:rPr>
      </w:pPr>
      <w:r>
        <w:rPr>
          <w:rFonts w:ascii="Times New Roman Regular" w:hAnsi="Times New Roman Regular" w:cs="Times New Roman Regular"/>
          <w:b w:val="0"/>
          <w:bCs w:val="0"/>
          <w:sz w:val="24"/>
          <w:szCs w:val="24"/>
        </w:rPr>
        <w:t>9.2.4 突出物流管理专业特色，全方位提升学生综合学习能力</w:t>
      </w:r>
    </w:p>
    <w:p>
      <w:pPr>
        <w:adjustRightInd w:val="0"/>
        <w:snapToGrid w:val="0"/>
        <w:spacing w:line="360" w:lineRule="auto"/>
        <w:ind w:firstLine="360"/>
        <w:rPr>
          <w:rFonts w:ascii="Times New Roman Regular" w:hAnsi="Times New Roman Regular" w:cs="Times New Roman Regular"/>
        </w:rPr>
      </w:pPr>
      <w:r>
        <w:rPr>
          <w:rFonts w:ascii="Times New Roman Regular" w:hAnsi="Times New Roman Regular" w:cs="Times New Roman Regular"/>
        </w:rPr>
        <w:t>物流管理专业积极采取以下措施，助力学生强化专业认知、提升学生综合学习能力：</w:t>
      </w:r>
    </w:p>
    <w:p>
      <w:pPr>
        <w:adjustRightInd w:val="0"/>
        <w:snapToGrid w:val="0"/>
        <w:spacing w:line="360" w:lineRule="auto"/>
        <w:ind w:firstLine="420"/>
        <w:rPr>
          <w:rFonts w:ascii="Times New Roman Regular" w:hAnsi="Times New Roman Regular" w:cs="Times New Roman Regular"/>
        </w:rPr>
      </w:pPr>
      <w:r>
        <w:rPr>
          <w:rFonts w:ascii="Times New Roman Regular" w:hAnsi="Times New Roman Regular" w:cs="Times New Roman Regular"/>
        </w:rPr>
        <w:t>（1）通过专业认知，明确学习目的、激发综合学习能力：本专业通过专业动员、专家论坛和座谈、专业实践、专业现状调研等各项措施，让学生了解行业发展对综合性人才的需求，树立综合学习发展的目标。积极探索加强综合学习的途径。如，主要针对大一新生的专业动员会，通过高年级学生的座谈、专业教师的沟通、行业专家的报告、物流企业的宣讲会等形式，帮助大一新生尽早建立清晰的专业认知，进而明确学习目的。</w:t>
      </w:r>
    </w:p>
    <w:p>
      <w:pPr>
        <w:adjustRightInd w:val="0"/>
        <w:snapToGrid w:val="0"/>
        <w:spacing w:line="360" w:lineRule="auto"/>
        <w:ind w:firstLine="420"/>
        <w:rPr>
          <w:rFonts w:ascii="Times New Roman Regular" w:hAnsi="Times New Roman Regular" w:cs="Times New Roman Regular"/>
        </w:rPr>
      </w:pPr>
      <w:r>
        <w:rPr>
          <w:rFonts w:ascii="Times New Roman Regular" w:hAnsi="Times New Roman Regular" w:cs="Times New Roman Regular"/>
        </w:rPr>
        <w:t>（2）校企共建，加大专业创新与实践活动的开展，提升学习的主动性和积极性：通过课程实践教学使学生从实践角度了解一门课程，提高学习兴趣、激发学习自主性。通过校企共建，培养符合企业要求的学生，增加学生实践机会。加强和企业沟通，探讨合理的培养模式，培养社会最需要的人才。根据企业需要开展相关实践活动，通过在企业的实践，让学生接触专业，并养成踏实的学习、工作作风。</w:t>
      </w:r>
    </w:p>
    <w:p>
      <w:pPr>
        <w:adjustRightInd w:val="0"/>
        <w:snapToGrid w:val="0"/>
        <w:spacing w:line="360" w:lineRule="auto"/>
        <w:ind w:firstLine="420"/>
        <w:rPr>
          <w:rFonts w:ascii="Times New Roman Regular" w:hAnsi="Times New Roman Regular" w:cs="Times New Roman Regular"/>
        </w:rPr>
      </w:pPr>
      <w:r>
        <w:rPr>
          <w:rFonts w:ascii="Times New Roman Regular" w:hAnsi="Times New Roman Regular" w:cs="Times New Roman Regular"/>
        </w:rPr>
        <w:t>（3）积极探索全方位综合能力培养模式：转变传统教学方式，开展项目式教学、翻转课堂、案例训练、虚拟仿真课程实验等活动，提高学生参与课堂教学的积极性，提升学生综合利用专业知识解决实际问题的能力；积极开拓国际合作办学项目，培养跨文化沟通的能力并拓宽学生的国际化视野，提高今后在全球化环境中的适应能力；通过聘请外籍教师讲授专业课，同时聘请海外教授举办讲座，拓展学生国际视野；充分利用上海外资企业众多的优势，聘请高素质的外籍物流管理方面的职业经理人进课堂，担任兼职教师，参加理论教学与实践教学。</w:t>
      </w:r>
    </w:p>
    <w:p>
      <w:pPr>
        <w:spacing w:line="360" w:lineRule="auto"/>
        <w:rPr>
          <w:rFonts w:ascii="Times New Roman Regular" w:hAnsi="Times New Roman Regular" w:cs="Times New Roman Regular"/>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imes New Roman Regular">
    <w:altName w:val="Times New Roman"/>
    <w:panose1 w:val="00000000000000000000"/>
    <w:charset w:val="00"/>
    <w:family w:val="auto"/>
    <w:pitch w:val="default"/>
    <w:sig w:usb0="00000000" w:usb1="00000000"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E2F5A"/>
    <w:multiLevelType w:val="multilevel"/>
    <w:tmpl w:val="5FCE2F5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FDF6E4E"/>
    <w:multiLevelType w:val="singleLevel"/>
    <w:tmpl w:val="7FDF6E4E"/>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jMjcyNGE4NGIxM2I4ZGZlYjlmNzE2NGQ3OTQ4NGYifQ=="/>
  </w:docVars>
  <w:rsids>
    <w:rsidRoot w:val="0054186C"/>
    <w:rsid w:val="000147A6"/>
    <w:rsid w:val="000232EC"/>
    <w:rsid w:val="00032073"/>
    <w:rsid w:val="000376E8"/>
    <w:rsid w:val="000827A3"/>
    <w:rsid w:val="00092B09"/>
    <w:rsid w:val="00092D85"/>
    <w:rsid w:val="000A4A8E"/>
    <w:rsid w:val="000A6EA2"/>
    <w:rsid w:val="000B2965"/>
    <w:rsid w:val="000C5096"/>
    <w:rsid w:val="000D257F"/>
    <w:rsid w:val="000D40A1"/>
    <w:rsid w:val="000E14E9"/>
    <w:rsid w:val="000E6FA3"/>
    <w:rsid w:val="001248FF"/>
    <w:rsid w:val="00141505"/>
    <w:rsid w:val="001535F0"/>
    <w:rsid w:val="00156644"/>
    <w:rsid w:val="00164DCB"/>
    <w:rsid w:val="00165054"/>
    <w:rsid w:val="00176907"/>
    <w:rsid w:val="00191D7C"/>
    <w:rsid w:val="001944A0"/>
    <w:rsid w:val="001D2E93"/>
    <w:rsid w:val="001D66EF"/>
    <w:rsid w:val="001E1E48"/>
    <w:rsid w:val="001F1060"/>
    <w:rsid w:val="002005D2"/>
    <w:rsid w:val="00210138"/>
    <w:rsid w:val="002123E7"/>
    <w:rsid w:val="00225EF1"/>
    <w:rsid w:val="00242E0B"/>
    <w:rsid w:val="00263B5B"/>
    <w:rsid w:val="002814D0"/>
    <w:rsid w:val="002A4CDF"/>
    <w:rsid w:val="002F3B9B"/>
    <w:rsid w:val="002F4257"/>
    <w:rsid w:val="00337A06"/>
    <w:rsid w:val="00356E3E"/>
    <w:rsid w:val="00360200"/>
    <w:rsid w:val="00383CB3"/>
    <w:rsid w:val="003A192A"/>
    <w:rsid w:val="003A5DC9"/>
    <w:rsid w:val="003B5743"/>
    <w:rsid w:val="003B5821"/>
    <w:rsid w:val="003D4237"/>
    <w:rsid w:val="003E3C59"/>
    <w:rsid w:val="003E684A"/>
    <w:rsid w:val="003F7065"/>
    <w:rsid w:val="00400D8F"/>
    <w:rsid w:val="00415CDE"/>
    <w:rsid w:val="00421CCF"/>
    <w:rsid w:val="0043005D"/>
    <w:rsid w:val="00485557"/>
    <w:rsid w:val="0049281E"/>
    <w:rsid w:val="00492D16"/>
    <w:rsid w:val="004A29AB"/>
    <w:rsid w:val="004A3BC8"/>
    <w:rsid w:val="004B02C4"/>
    <w:rsid w:val="004C4E32"/>
    <w:rsid w:val="004C5078"/>
    <w:rsid w:val="004D3393"/>
    <w:rsid w:val="004E18DE"/>
    <w:rsid w:val="0054186C"/>
    <w:rsid w:val="005819B8"/>
    <w:rsid w:val="005930AB"/>
    <w:rsid w:val="005C4D52"/>
    <w:rsid w:val="005D5C8D"/>
    <w:rsid w:val="005D6B0C"/>
    <w:rsid w:val="00605D42"/>
    <w:rsid w:val="00644138"/>
    <w:rsid w:val="00652619"/>
    <w:rsid w:val="00662EA1"/>
    <w:rsid w:val="00663B33"/>
    <w:rsid w:val="0067425A"/>
    <w:rsid w:val="006F1096"/>
    <w:rsid w:val="0071499E"/>
    <w:rsid w:val="007165BA"/>
    <w:rsid w:val="00727DD0"/>
    <w:rsid w:val="00730C50"/>
    <w:rsid w:val="007549AC"/>
    <w:rsid w:val="0075551B"/>
    <w:rsid w:val="0075762C"/>
    <w:rsid w:val="0078195A"/>
    <w:rsid w:val="007849F0"/>
    <w:rsid w:val="0079395C"/>
    <w:rsid w:val="007A5545"/>
    <w:rsid w:val="007C5E14"/>
    <w:rsid w:val="007E3FE5"/>
    <w:rsid w:val="007E49C2"/>
    <w:rsid w:val="007F2627"/>
    <w:rsid w:val="00816350"/>
    <w:rsid w:val="00836A73"/>
    <w:rsid w:val="00840DC7"/>
    <w:rsid w:val="008471D9"/>
    <w:rsid w:val="00877FB8"/>
    <w:rsid w:val="00884201"/>
    <w:rsid w:val="00884A2C"/>
    <w:rsid w:val="008B0D37"/>
    <w:rsid w:val="008E01F5"/>
    <w:rsid w:val="008F1E13"/>
    <w:rsid w:val="00902E1E"/>
    <w:rsid w:val="009072BA"/>
    <w:rsid w:val="00916339"/>
    <w:rsid w:val="00925B49"/>
    <w:rsid w:val="00960F89"/>
    <w:rsid w:val="009805AF"/>
    <w:rsid w:val="00990C06"/>
    <w:rsid w:val="00994D35"/>
    <w:rsid w:val="009B1C45"/>
    <w:rsid w:val="009D37B2"/>
    <w:rsid w:val="009E3BB5"/>
    <w:rsid w:val="009F06FE"/>
    <w:rsid w:val="00A30E1C"/>
    <w:rsid w:val="00A47CAE"/>
    <w:rsid w:val="00A67438"/>
    <w:rsid w:val="00A9217F"/>
    <w:rsid w:val="00AC5372"/>
    <w:rsid w:val="00AD593B"/>
    <w:rsid w:val="00B248C0"/>
    <w:rsid w:val="00B572EB"/>
    <w:rsid w:val="00B7496E"/>
    <w:rsid w:val="00BF21C6"/>
    <w:rsid w:val="00C0158E"/>
    <w:rsid w:val="00C13054"/>
    <w:rsid w:val="00C20FA2"/>
    <w:rsid w:val="00C4403F"/>
    <w:rsid w:val="00C544B0"/>
    <w:rsid w:val="00C56CD4"/>
    <w:rsid w:val="00C65B4B"/>
    <w:rsid w:val="00C867E7"/>
    <w:rsid w:val="00CF36EB"/>
    <w:rsid w:val="00D119DB"/>
    <w:rsid w:val="00D13A6E"/>
    <w:rsid w:val="00D47C1A"/>
    <w:rsid w:val="00D5367E"/>
    <w:rsid w:val="00D61529"/>
    <w:rsid w:val="00D61A06"/>
    <w:rsid w:val="00D93A2F"/>
    <w:rsid w:val="00D96714"/>
    <w:rsid w:val="00DA7182"/>
    <w:rsid w:val="00DB3BB4"/>
    <w:rsid w:val="00E12321"/>
    <w:rsid w:val="00E138B4"/>
    <w:rsid w:val="00E30105"/>
    <w:rsid w:val="00E57CD1"/>
    <w:rsid w:val="00E61680"/>
    <w:rsid w:val="00EE2B30"/>
    <w:rsid w:val="00EE64EC"/>
    <w:rsid w:val="00EE7547"/>
    <w:rsid w:val="00EF305C"/>
    <w:rsid w:val="00F01231"/>
    <w:rsid w:val="00F11260"/>
    <w:rsid w:val="00F34C8E"/>
    <w:rsid w:val="00F57C6E"/>
    <w:rsid w:val="00F67289"/>
    <w:rsid w:val="00FA30CC"/>
    <w:rsid w:val="00FD25C8"/>
    <w:rsid w:val="00FE323B"/>
    <w:rsid w:val="00FE7E94"/>
    <w:rsid w:val="01CC1A40"/>
    <w:rsid w:val="02201D8C"/>
    <w:rsid w:val="03A32C74"/>
    <w:rsid w:val="077C5CB6"/>
    <w:rsid w:val="0F582B65"/>
    <w:rsid w:val="12371157"/>
    <w:rsid w:val="24C73138"/>
    <w:rsid w:val="26DC3C24"/>
    <w:rsid w:val="27DF1C1D"/>
    <w:rsid w:val="29AB6B74"/>
    <w:rsid w:val="2FE36023"/>
    <w:rsid w:val="42ED2FE9"/>
    <w:rsid w:val="4AF75521"/>
    <w:rsid w:val="4F9F0FF2"/>
    <w:rsid w:val="4FA3633E"/>
    <w:rsid w:val="53037A15"/>
    <w:rsid w:val="5B5B3832"/>
    <w:rsid w:val="5F702B80"/>
    <w:rsid w:val="5FBD8F1B"/>
    <w:rsid w:val="64794284"/>
    <w:rsid w:val="64CC6AAA"/>
    <w:rsid w:val="65166027"/>
    <w:rsid w:val="72D82ABE"/>
    <w:rsid w:val="75022465"/>
    <w:rsid w:val="7552152F"/>
    <w:rsid w:val="7D2F4A4D"/>
    <w:rsid w:val="7E4E61F3"/>
    <w:rsid w:val="96EFA3D7"/>
    <w:rsid w:val="E3FB1D51"/>
    <w:rsid w:val="EBE7943A"/>
    <w:rsid w:val="F7FAF6B5"/>
    <w:rsid w:val="FCEFF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5"/>
    <w:autoRedefine/>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3">
    <w:name w:val="heading 2"/>
    <w:basedOn w:val="1"/>
    <w:next w:val="1"/>
    <w:link w:val="29"/>
    <w:autoRedefine/>
    <w:qFormat/>
    <w:uiPriority w:val="9"/>
    <w:pPr>
      <w:keepNext/>
      <w:keepLines/>
      <w:widowControl w:val="0"/>
      <w:spacing w:before="260" w:after="260" w:line="416" w:lineRule="auto"/>
      <w:jc w:val="both"/>
      <w:outlineLvl w:val="1"/>
    </w:pPr>
    <w:rPr>
      <w:rFonts w:ascii="Cambria" w:hAnsi="Cambria" w:cs="Times New Roman"/>
      <w:b/>
      <w:bCs/>
      <w:kern w:val="2"/>
      <w:sz w:val="32"/>
      <w:szCs w:val="32"/>
    </w:rPr>
  </w:style>
  <w:style w:type="paragraph" w:styleId="4">
    <w:name w:val="heading 3"/>
    <w:basedOn w:val="1"/>
    <w:next w:val="1"/>
    <w:link w:val="30"/>
    <w:autoRedefine/>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paragraph" w:styleId="5">
    <w:name w:val="heading 4"/>
    <w:basedOn w:val="1"/>
    <w:next w:val="1"/>
    <w:link w:val="3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3"/>
    <w:autoRedefine/>
    <w:unhideWhenUsed/>
    <w:qFormat/>
    <w:uiPriority w:val="9"/>
    <w:pPr>
      <w:keepNext/>
      <w:keepLines/>
      <w:spacing w:before="280" w:after="290" w:line="376" w:lineRule="auto"/>
      <w:outlineLvl w:val="4"/>
    </w:pPr>
    <w:rPr>
      <w:b/>
      <w:bCs/>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7">
    <w:name w:val="annotation text"/>
    <w:basedOn w:val="1"/>
    <w:link w:val="32"/>
    <w:autoRedefine/>
    <w:semiHidden/>
    <w:unhideWhenUsed/>
    <w:qFormat/>
    <w:uiPriority w:val="99"/>
  </w:style>
  <w:style w:type="paragraph" w:styleId="8">
    <w:name w:val="Body Text"/>
    <w:basedOn w:val="1"/>
    <w:link w:val="23"/>
    <w:autoRedefine/>
    <w:semiHidden/>
    <w:unhideWhenUsed/>
    <w:qFormat/>
    <w:uiPriority w:val="99"/>
    <w:pPr>
      <w:spacing w:before="100" w:beforeAutospacing="1" w:after="100" w:afterAutospacing="1"/>
    </w:pPr>
  </w:style>
  <w:style w:type="paragraph" w:styleId="9">
    <w:name w:val="toc 3"/>
    <w:basedOn w:val="1"/>
    <w:next w:val="1"/>
    <w:autoRedefine/>
    <w:unhideWhenUsed/>
    <w:qFormat/>
    <w:uiPriority w:val="39"/>
    <w:pPr>
      <w:tabs>
        <w:tab w:val="right" w:leader="dot" w:pos="8296"/>
      </w:tabs>
      <w:spacing w:line="360" w:lineRule="auto"/>
      <w:ind w:left="960" w:leftChars="400"/>
    </w:pPr>
  </w:style>
  <w:style w:type="paragraph" w:styleId="10">
    <w:name w:val="Date"/>
    <w:basedOn w:val="1"/>
    <w:next w:val="1"/>
    <w:link w:val="26"/>
    <w:autoRedefine/>
    <w:semiHidden/>
    <w:unhideWhenUsed/>
    <w:qFormat/>
    <w:uiPriority w:val="99"/>
    <w:pPr>
      <w:ind w:left="100" w:leftChars="2500"/>
    </w:pPr>
  </w:style>
  <w:style w:type="paragraph" w:styleId="11">
    <w:name w:val="endnote text"/>
    <w:basedOn w:val="1"/>
    <w:link w:val="34"/>
    <w:autoRedefine/>
    <w:semiHidden/>
    <w:unhideWhenUsed/>
    <w:qFormat/>
    <w:uiPriority w:val="99"/>
    <w:pPr>
      <w:snapToGrid w:val="0"/>
    </w:pPr>
  </w:style>
  <w:style w:type="paragraph" w:styleId="12">
    <w:name w:val="footer"/>
    <w:basedOn w:val="1"/>
    <w:link w:val="36"/>
    <w:autoRedefine/>
    <w:unhideWhenUsed/>
    <w:qFormat/>
    <w:uiPriority w:val="99"/>
    <w:pPr>
      <w:tabs>
        <w:tab w:val="center" w:pos="4153"/>
        <w:tab w:val="right" w:pos="8306"/>
      </w:tabs>
      <w:snapToGrid w:val="0"/>
    </w:pPr>
    <w:rPr>
      <w:sz w:val="18"/>
      <w:szCs w:val="18"/>
    </w:rPr>
  </w:style>
  <w:style w:type="paragraph" w:styleId="13">
    <w:name w:val="header"/>
    <w:basedOn w:val="1"/>
    <w:link w:val="35"/>
    <w:autoRedefine/>
    <w:unhideWhenUsed/>
    <w:qFormat/>
    <w:uiPriority w:val="99"/>
    <w:pPr>
      <w:tabs>
        <w:tab w:val="center" w:pos="4153"/>
        <w:tab w:val="right" w:pos="8306"/>
      </w:tabs>
      <w:snapToGrid w:val="0"/>
      <w:jc w:val="center"/>
    </w:pPr>
    <w:rPr>
      <w:sz w:val="18"/>
      <w:szCs w:val="18"/>
    </w:rPr>
  </w:style>
  <w:style w:type="paragraph" w:styleId="14">
    <w:name w:val="toc 1"/>
    <w:basedOn w:val="1"/>
    <w:next w:val="1"/>
    <w:autoRedefine/>
    <w:unhideWhenUsed/>
    <w:qFormat/>
    <w:uiPriority w:val="39"/>
  </w:style>
  <w:style w:type="paragraph" w:styleId="15">
    <w:name w:val="toc 2"/>
    <w:basedOn w:val="1"/>
    <w:next w:val="1"/>
    <w:autoRedefine/>
    <w:unhideWhenUsed/>
    <w:qFormat/>
    <w:uiPriority w:val="39"/>
    <w:pPr>
      <w:ind w:left="420" w:leftChars="200"/>
    </w:pPr>
  </w:style>
  <w:style w:type="paragraph" w:styleId="16">
    <w:name w:val="Normal (Web)"/>
    <w:basedOn w:val="1"/>
    <w:autoRedefine/>
    <w:qFormat/>
    <w:uiPriority w:val="99"/>
    <w:pPr>
      <w:spacing w:before="100" w:beforeAutospacing="1" w:after="100" w:afterAutospacing="1" w:line="360" w:lineRule="auto"/>
    </w:pPr>
    <w:rPr>
      <w:rFonts w:cs="Times New Roman"/>
      <w:szCs w:val="20"/>
    </w:rPr>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ndnote reference"/>
    <w:basedOn w:val="19"/>
    <w:autoRedefine/>
    <w:semiHidden/>
    <w:unhideWhenUsed/>
    <w:qFormat/>
    <w:uiPriority w:val="99"/>
    <w:rPr>
      <w:vertAlign w:val="superscript"/>
    </w:rPr>
  </w:style>
  <w:style w:type="character" w:styleId="21">
    <w:name w:val="Hyperlink"/>
    <w:basedOn w:val="19"/>
    <w:autoRedefine/>
    <w:unhideWhenUsed/>
    <w:qFormat/>
    <w:uiPriority w:val="99"/>
    <w:rPr>
      <w:color w:val="0563C1" w:themeColor="hyperlink"/>
      <w:u w:val="single"/>
      <w14:textFill>
        <w14:solidFill>
          <w14:schemeClr w14:val="hlink"/>
        </w14:solidFill>
      </w14:textFill>
    </w:rPr>
  </w:style>
  <w:style w:type="character" w:styleId="22">
    <w:name w:val="annotation reference"/>
    <w:basedOn w:val="19"/>
    <w:autoRedefine/>
    <w:semiHidden/>
    <w:unhideWhenUsed/>
    <w:qFormat/>
    <w:uiPriority w:val="99"/>
    <w:rPr>
      <w:sz w:val="21"/>
      <w:szCs w:val="21"/>
    </w:rPr>
  </w:style>
  <w:style w:type="character" w:customStyle="1" w:styleId="23">
    <w:name w:val="正文文本 字符"/>
    <w:basedOn w:val="19"/>
    <w:link w:val="8"/>
    <w:autoRedefine/>
    <w:semiHidden/>
    <w:qFormat/>
    <w:uiPriority w:val="99"/>
    <w:rPr>
      <w:rFonts w:ascii="宋体" w:hAnsi="宋体" w:eastAsia="宋体" w:cs="宋体"/>
      <w:kern w:val="0"/>
      <w:sz w:val="24"/>
      <w:szCs w:val="24"/>
    </w:rPr>
  </w:style>
  <w:style w:type="paragraph" w:customStyle="1" w:styleId="24">
    <w:name w:val="11"/>
    <w:basedOn w:val="1"/>
    <w:autoRedefine/>
    <w:semiHidden/>
    <w:qFormat/>
    <w:uiPriority w:val="99"/>
    <w:pPr>
      <w:spacing w:before="100" w:beforeAutospacing="1" w:after="100" w:afterAutospacing="1"/>
    </w:pPr>
  </w:style>
  <w:style w:type="character" w:customStyle="1" w:styleId="25">
    <w:name w:val="标题 1 字符"/>
    <w:basedOn w:val="19"/>
    <w:link w:val="2"/>
    <w:autoRedefine/>
    <w:qFormat/>
    <w:uiPriority w:val="9"/>
    <w:rPr>
      <w:b/>
      <w:bCs/>
      <w:kern w:val="44"/>
      <w:sz w:val="44"/>
      <w:szCs w:val="44"/>
    </w:rPr>
  </w:style>
  <w:style w:type="character" w:customStyle="1" w:styleId="26">
    <w:name w:val="日期 字符"/>
    <w:basedOn w:val="19"/>
    <w:link w:val="10"/>
    <w:autoRedefine/>
    <w:semiHidden/>
    <w:qFormat/>
    <w:uiPriority w:val="99"/>
    <w:rPr>
      <w:rFonts w:ascii="宋体" w:hAnsi="宋体" w:eastAsia="宋体" w:cs="宋体"/>
      <w:kern w:val="0"/>
      <w:sz w:val="24"/>
      <w:szCs w:val="24"/>
    </w:rPr>
  </w:style>
  <w:style w:type="paragraph" w:customStyle="1" w:styleId="27">
    <w:name w:val="21"/>
    <w:basedOn w:val="1"/>
    <w:autoRedefine/>
    <w:semiHidden/>
    <w:qFormat/>
    <w:uiPriority w:val="99"/>
    <w:pPr>
      <w:spacing w:before="100" w:beforeAutospacing="1" w:after="100" w:afterAutospacing="1"/>
    </w:pPr>
  </w:style>
  <w:style w:type="paragraph" w:customStyle="1" w:styleId="28">
    <w:name w:val="tableparagraph"/>
    <w:basedOn w:val="1"/>
    <w:autoRedefine/>
    <w:semiHidden/>
    <w:qFormat/>
    <w:uiPriority w:val="99"/>
    <w:pPr>
      <w:spacing w:before="100" w:beforeAutospacing="1" w:after="100" w:afterAutospacing="1"/>
    </w:pPr>
  </w:style>
  <w:style w:type="character" w:customStyle="1" w:styleId="29">
    <w:name w:val="标题 2 字符"/>
    <w:basedOn w:val="19"/>
    <w:link w:val="3"/>
    <w:autoRedefine/>
    <w:qFormat/>
    <w:uiPriority w:val="9"/>
    <w:rPr>
      <w:rFonts w:ascii="Cambria" w:hAnsi="Cambria" w:eastAsia="宋体" w:cs="Times New Roman"/>
      <w:b/>
      <w:bCs/>
      <w:sz w:val="32"/>
      <w:szCs w:val="32"/>
    </w:rPr>
  </w:style>
  <w:style w:type="character" w:customStyle="1" w:styleId="30">
    <w:name w:val="标题 3 字符"/>
    <w:basedOn w:val="19"/>
    <w:link w:val="4"/>
    <w:autoRedefine/>
    <w:qFormat/>
    <w:uiPriority w:val="9"/>
    <w:rPr>
      <w:b/>
      <w:bCs/>
      <w:sz w:val="32"/>
      <w:szCs w:val="32"/>
    </w:rPr>
  </w:style>
  <w:style w:type="character" w:customStyle="1" w:styleId="31">
    <w:name w:val="标题 4 字符"/>
    <w:basedOn w:val="19"/>
    <w:link w:val="5"/>
    <w:autoRedefine/>
    <w:qFormat/>
    <w:uiPriority w:val="9"/>
    <w:rPr>
      <w:rFonts w:asciiTheme="majorHAnsi" w:hAnsiTheme="majorHAnsi" w:eastAsiaTheme="majorEastAsia" w:cstheme="majorBidi"/>
      <w:b/>
      <w:bCs/>
      <w:kern w:val="0"/>
      <w:sz w:val="28"/>
      <w:szCs w:val="28"/>
    </w:rPr>
  </w:style>
  <w:style w:type="character" w:customStyle="1" w:styleId="32">
    <w:name w:val="批注文字 字符"/>
    <w:basedOn w:val="19"/>
    <w:link w:val="7"/>
    <w:autoRedefine/>
    <w:semiHidden/>
    <w:qFormat/>
    <w:uiPriority w:val="99"/>
    <w:rPr>
      <w:rFonts w:ascii="宋体" w:hAnsi="宋体" w:eastAsia="宋体" w:cs="宋体"/>
      <w:kern w:val="0"/>
      <w:sz w:val="24"/>
      <w:szCs w:val="24"/>
    </w:rPr>
  </w:style>
  <w:style w:type="character" w:customStyle="1" w:styleId="33">
    <w:name w:val="标题 5 字符"/>
    <w:basedOn w:val="19"/>
    <w:link w:val="6"/>
    <w:autoRedefine/>
    <w:qFormat/>
    <w:uiPriority w:val="9"/>
    <w:rPr>
      <w:rFonts w:ascii="宋体" w:hAnsi="宋体" w:eastAsia="宋体" w:cs="宋体"/>
      <w:b/>
      <w:bCs/>
      <w:kern w:val="0"/>
      <w:sz w:val="28"/>
      <w:szCs w:val="28"/>
    </w:rPr>
  </w:style>
  <w:style w:type="character" w:customStyle="1" w:styleId="34">
    <w:name w:val="尾注文本 字符"/>
    <w:basedOn w:val="19"/>
    <w:link w:val="11"/>
    <w:autoRedefine/>
    <w:semiHidden/>
    <w:qFormat/>
    <w:uiPriority w:val="99"/>
    <w:rPr>
      <w:rFonts w:ascii="宋体" w:hAnsi="宋体" w:eastAsia="宋体" w:cs="宋体"/>
      <w:sz w:val="24"/>
      <w:szCs w:val="24"/>
    </w:rPr>
  </w:style>
  <w:style w:type="character" w:customStyle="1" w:styleId="35">
    <w:name w:val="页眉 字符"/>
    <w:basedOn w:val="19"/>
    <w:link w:val="13"/>
    <w:autoRedefine/>
    <w:qFormat/>
    <w:uiPriority w:val="99"/>
    <w:rPr>
      <w:rFonts w:ascii="宋体" w:hAnsi="宋体" w:eastAsia="宋体" w:cs="宋体"/>
      <w:sz w:val="18"/>
      <w:szCs w:val="18"/>
    </w:rPr>
  </w:style>
  <w:style w:type="character" w:customStyle="1" w:styleId="36">
    <w:name w:val="页脚 字符"/>
    <w:basedOn w:val="19"/>
    <w:link w:val="12"/>
    <w:autoRedefine/>
    <w:qFormat/>
    <w:uiPriority w:val="99"/>
    <w:rPr>
      <w:rFonts w:ascii="宋体" w:hAnsi="宋体" w:eastAsia="宋体" w:cs="宋体"/>
      <w:sz w:val="18"/>
      <w:szCs w:val="18"/>
    </w:rPr>
  </w:style>
  <w:style w:type="paragraph" w:styleId="37">
    <w:name w:val="List Paragraph"/>
    <w:basedOn w:val="1"/>
    <w:autoRedefine/>
    <w:unhideWhenUsed/>
    <w:qFormat/>
    <w:uiPriority w:val="99"/>
    <w:pPr>
      <w:ind w:firstLine="420" w:firstLineChars="200"/>
    </w:pPr>
  </w:style>
  <w:style w:type="paragraph" w:customStyle="1" w:styleId="38">
    <w:name w:val="标准"/>
    <w:basedOn w:val="1"/>
    <w:autoRedefine/>
    <w:qFormat/>
    <w:uiPriority w:val="0"/>
    <w:pPr>
      <w:adjustRightInd w:val="0"/>
      <w:spacing w:before="120" w:after="120" w:line="312" w:lineRule="atLeast"/>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4048</Words>
  <Characters>23077</Characters>
  <Lines>192</Lines>
  <Paragraphs>54</Paragraphs>
  <TotalTime>3</TotalTime>
  <ScaleCrop>false</ScaleCrop>
  <LinksUpToDate>false</LinksUpToDate>
  <CharactersWithSpaces>27071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2024-02-26T13:09:00Z</dcterms:created>
  <dc:creator>Lifan Zheng</dc:creator>
  <cp:lastModifiedBy>唐小霸</cp:lastModifiedBy>
  <dcterms:modified xsi:type="dcterms:W3CDTF">2024-03-08T02:57:38Z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FC79A8546ED84AB2AC5A56120392B1C3_13</vt:lpwstr>
  </property>
</Properties>
</file>