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7" w:lineRule="exact"/>
        <w:ind w:left="601" w:right="231"/>
        <w:jc w:val="center"/>
        <w:rPr>
          <w:rFonts w:ascii="华文中宋" w:hAnsi="华文中宋" w:eastAsia="华文中宋"/>
          <w:color w:val="000000"/>
          <w:sz w:val="72"/>
          <w:szCs w:val="72"/>
        </w:rPr>
      </w:pPr>
    </w:p>
    <w:p>
      <w:pPr>
        <w:spacing w:line="747" w:lineRule="exact"/>
        <w:ind w:left="601" w:right="231"/>
        <w:jc w:val="center"/>
        <w:rPr>
          <w:rFonts w:ascii="黑体" w:hAnsi="黑体" w:eastAsia="黑体" w:cs="微软雅黑"/>
          <w:sz w:val="40"/>
          <w:szCs w:val="22"/>
        </w:rPr>
      </w:pPr>
      <w:bookmarkStart w:id="0" w:name="_Hlk154736294"/>
      <w:bookmarkEnd w:id="0"/>
      <w:r>
        <w:rPr>
          <w:rFonts w:hint="eastAsia" w:ascii="华文中宋" w:hAnsi="华文中宋" w:eastAsia="华文中宋"/>
          <w:color w:val="000000"/>
          <w:sz w:val="72"/>
          <w:szCs w:val="72"/>
        </w:rPr>
        <w:drawing>
          <wp:inline distT="0" distB="0" distL="0" distR="0">
            <wp:extent cx="3600450" cy="419100"/>
            <wp:effectExtent l="0" t="0" r="0" b="0"/>
            <wp:docPr id="2" name="图片 2"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上海工程技术大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00450" cy="419100"/>
                    </a:xfrm>
                    <a:prstGeom prst="rect">
                      <a:avLst/>
                    </a:prstGeom>
                    <a:noFill/>
                    <a:ln>
                      <a:noFill/>
                    </a:ln>
                  </pic:spPr>
                </pic:pic>
              </a:graphicData>
            </a:graphic>
          </wp:inline>
        </w:drawing>
      </w:r>
    </w:p>
    <w:p>
      <w:pPr>
        <w:ind w:left="595" w:right="231"/>
        <w:jc w:val="center"/>
        <w:rPr>
          <w:rFonts w:ascii="微软雅黑" w:hAnsi="微软雅黑" w:eastAsia="微软雅黑" w:cs="微软雅黑"/>
          <w:sz w:val="36"/>
          <w:szCs w:val="22"/>
        </w:rPr>
      </w:pPr>
    </w:p>
    <w:p>
      <w:pPr>
        <w:ind w:left="595" w:right="231"/>
        <w:jc w:val="center"/>
      </w:pPr>
      <w:r>
        <w:rPr>
          <w:rFonts w:hint="eastAsia" w:ascii="微软雅黑" w:hAnsi="微软雅黑" w:eastAsia="微软雅黑" w:cs="微软雅黑"/>
          <w:sz w:val="36"/>
          <w:szCs w:val="22"/>
        </w:rPr>
        <w:t>市场营销专业</w:t>
      </w:r>
    </w:p>
    <w:p>
      <w:pPr>
        <w:spacing w:line="747" w:lineRule="exact"/>
        <w:ind w:left="601" w:right="231"/>
        <w:jc w:val="center"/>
        <w:rPr>
          <w:rFonts w:hint="eastAsia" w:ascii="黑体" w:hAnsi="黑体" w:eastAsia="黑体" w:cs="微软雅黑"/>
          <w:sz w:val="40"/>
          <w:szCs w:val="22"/>
        </w:rPr>
      </w:pPr>
      <w:r>
        <w:rPr>
          <w:rFonts w:hint="eastAsia" w:ascii="黑体" w:hAnsi="黑体" w:eastAsia="黑体" w:cs="微软雅黑"/>
          <w:sz w:val="40"/>
          <w:szCs w:val="22"/>
        </w:rPr>
        <w:t>2</w:t>
      </w:r>
      <w:r>
        <w:rPr>
          <w:rFonts w:ascii="黑体" w:hAnsi="黑体" w:eastAsia="黑体" w:cs="微软雅黑"/>
          <w:sz w:val="40"/>
          <w:szCs w:val="22"/>
        </w:rPr>
        <w:t>022-2023</w:t>
      </w:r>
      <w:r>
        <w:rPr>
          <w:rFonts w:hint="eastAsia" w:ascii="黑体" w:hAnsi="黑体" w:eastAsia="黑体" w:cs="微软雅黑"/>
          <w:sz w:val="40"/>
          <w:szCs w:val="22"/>
        </w:rPr>
        <w:t>学年本科教学质量报告</w:t>
      </w:r>
    </w:p>
    <w:p>
      <w:pPr>
        <w:spacing w:line="747" w:lineRule="exact"/>
        <w:ind w:left="601" w:right="231"/>
        <w:jc w:val="center"/>
        <w:rPr>
          <w:rFonts w:hint="eastAsia" w:ascii="黑体" w:hAnsi="黑体" w:eastAsia="黑体" w:cs="微软雅黑"/>
          <w:sz w:val="40"/>
          <w:szCs w:val="22"/>
        </w:rPr>
      </w:pPr>
    </w:p>
    <w:p>
      <w:pPr>
        <w:ind w:left="601" w:right="232"/>
        <w:jc w:val="center"/>
        <w:rPr>
          <w:rFonts w:hint="eastAsia" w:ascii="微软雅黑" w:hAnsi="微软雅黑" w:eastAsia="微软雅黑"/>
          <w:color w:val="333333"/>
          <w:sz w:val="15"/>
          <w:szCs w:val="15"/>
        </w:rPr>
      </w:pPr>
    </w:p>
    <w:p>
      <w:pPr>
        <w:ind w:left="601" w:right="232"/>
        <w:jc w:val="center"/>
      </w:pPr>
      <w:r>
        <w:rPr>
          <w:rFonts w:hint="eastAsia" w:ascii="微软雅黑" w:hAnsi="微软雅黑" w:eastAsia="微软雅黑"/>
          <w:color w:val="333333"/>
          <w:sz w:val="15"/>
          <w:szCs w:val="15"/>
        </w:rPr>
        <w:drawing>
          <wp:inline distT="0" distB="0" distL="0" distR="0">
            <wp:extent cx="1800225" cy="1800225"/>
            <wp:effectExtent l="0" t="0" r="9525" b="952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00225" cy="1800225"/>
                    </a:xfrm>
                    <a:prstGeom prst="rect">
                      <a:avLst/>
                    </a:prstGeom>
                    <a:noFill/>
                    <a:ln>
                      <a:noFill/>
                    </a:ln>
                  </pic:spPr>
                </pic:pic>
              </a:graphicData>
            </a:graphic>
          </wp:inline>
        </w:drawing>
      </w:r>
    </w:p>
    <w:p>
      <w:pPr>
        <w:pStyle w:val="24"/>
        <w:spacing w:before="98" w:beforeAutospacing="0" w:after="0" w:afterAutospacing="0"/>
        <w:ind w:left="597" w:right="231"/>
        <w:jc w:val="center"/>
      </w:pPr>
    </w:p>
    <w:tbl>
      <w:tblPr>
        <w:tblStyle w:val="17"/>
        <w:tblW w:w="0" w:type="auto"/>
        <w:jc w:val="center"/>
        <w:tblLayout w:type="fixed"/>
        <w:tblCellMar>
          <w:top w:w="0" w:type="dxa"/>
          <w:left w:w="0" w:type="dxa"/>
          <w:bottom w:w="0" w:type="dxa"/>
          <w:right w:w="0" w:type="dxa"/>
        </w:tblCellMar>
      </w:tblPr>
      <w:tblGrid>
        <w:gridCol w:w="6880"/>
      </w:tblGrid>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firstLineChars="300"/>
              <w:jc w:val="center"/>
              <w:rPr>
                <w:rFonts w:ascii="微软雅黑" w:hAnsi="微软雅黑" w:eastAsia="微软雅黑"/>
                <w:color w:val="333333"/>
                <w:sz w:val="15"/>
                <w:szCs w:val="15"/>
              </w:rPr>
            </w:pPr>
            <w:r>
              <w:rPr>
                <w:rFonts w:hint="eastAsia" w:ascii="楷体" w:hAnsi="楷体" w:eastAsia="楷体"/>
                <w:color w:val="000000"/>
                <w:sz w:val="30"/>
                <w:szCs w:val="30"/>
              </w:rPr>
              <w:t>专业代码：</w:t>
            </w:r>
            <w:r>
              <w:rPr>
                <w:rFonts w:hint="eastAsia"/>
                <w:i/>
                <w:iCs/>
                <w:color w:val="000000"/>
                <w:sz w:val="30"/>
                <w:szCs w:val="30"/>
                <w:u w:val="single"/>
              </w:rPr>
              <w:t xml:space="preserve"> </w:t>
            </w:r>
            <w:r>
              <w:rPr>
                <w:color w:val="000000"/>
                <w:sz w:val="30"/>
                <w:szCs w:val="30"/>
                <w:u w:val="single"/>
              </w:rPr>
              <w:t xml:space="preserve">120202 </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专业负责人：</w:t>
            </w:r>
            <w:r>
              <w:rPr>
                <w:rFonts w:hint="eastAsia" w:ascii="微软雅黑" w:hAnsi="微软雅黑" w:eastAsia="微软雅黑"/>
                <w:color w:val="000000"/>
                <w:sz w:val="30"/>
                <w:szCs w:val="30"/>
                <w:u w:val="single"/>
              </w:rPr>
              <w:t>    </w:t>
            </w:r>
            <w:r>
              <w:rPr>
                <w:rFonts w:hint="eastAsia" w:ascii="微软雅黑" w:hAnsi="微软雅黑" w:eastAsia="微软雅黑"/>
                <w:color w:val="000000"/>
                <w:sz w:val="30"/>
                <w:szCs w:val="30"/>
                <w:u w:val="single"/>
                <w:lang w:val="en-US" w:eastAsia="zh-CN"/>
              </w:rPr>
              <w:t xml:space="preserve">田雪莹 </w:t>
            </w:r>
            <w:r>
              <w:rPr>
                <w:rFonts w:hint="eastAsia" w:ascii="微软雅黑" w:hAnsi="微软雅黑" w:eastAsia="微软雅黑"/>
                <w:color w:val="000000"/>
                <w:sz w:val="30"/>
                <w:szCs w:val="30"/>
                <w:u w:val="single"/>
              </w:rPr>
              <w:t xml:space="preserve">  （签字）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教学院长：</w:t>
            </w:r>
            <w:r>
              <w:rPr>
                <w:rFonts w:hint="eastAsia" w:ascii="微软雅黑" w:hAnsi="微软雅黑" w:eastAsia="微软雅黑"/>
                <w:color w:val="000000"/>
                <w:sz w:val="30"/>
                <w:szCs w:val="30"/>
                <w:u w:val="single"/>
              </w:rPr>
              <w:t>        </w:t>
            </w:r>
            <w:r>
              <w:rPr>
                <w:rFonts w:hint="eastAsia" w:ascii="微软雅黑" w:hAnsi="微软雅黑" w:eastAsia="微软雅黑"/>
                <w:color w:val="000000"/>
                <w:sz w:val="30"/>
                <w:szCs w:val="30"/>
                <w:u w:val="single"/>
                <w:lang w:val="en-US" w:eastAsia="zh-CN"/>
              </w:rPr>
              <w:t>罗  娟</w:t>
            </w:r>
            <w:r>
              <w:rPr>
                <w:rFonts w:hint="eastAsia" w:ascii="微软雅黑" w:hAnsi="微软雅黑" w:eastAsia="微软雅黑"/>
                <w:color w:val="000000"/>
                <w:sz w:val="30"/>
                <w:szCs w:val="30"/>
                <w:u w:val="single"/>
              </w:rPr>
              <w:t xml:space="preserve">   （签字）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学院院长：</w:t>
            </w:r>
            <w:r>
              <w:rPr>
                <w:rFonts w:hint="eastAsia" w:ascii="微软雅黑" w:hAnsi="微软雅黑" w:eastAsia="微软雅黑"/>
                <w:color w:val="000000"/>
                <w:sz w:val="30"/>
                <w:szCs w:val="30"/>
                <w:u w:val="single"/>
              </w:rPr>
              <w:t>       </w:t>
            </w:r>
            <w:r>
              <w:rPr>
                <w:rFonts w:hint="eastAsia" w:ascii="微软雅黑" w:hAnsi="微软雅黑" w:eastAsia="微软雅黑"/>
                <w:color w:val="000000"/>
                <w:sz w:val="30"/>
                <w:szCs w:val="30"/>
                <w:u w:val="single"/>
                <w:lang w:val="en-US" w:eastAsia="zh-CN"/>
              </w:rPr>
              <w:t>胡  斌</w:t>
            </w:r>
            <w:r>
              <w:rPr>
                <w:rFonts w:hint="eastAsia" w:ascii="微软雅黑" w:hAnsi="微软雅黑" w:eastAsia="微软雅黑"/>
                <w:color w:val="000000"/>
                <w:sz w:val="30"/>
                <w:szCs w:val="30"/>
                <w:u w:val="single"/>
              </w:rPr>
              <w:t xml:space="preserve">   （签字）</w:t>
            </w:r>
          </w:p>
        </w:tc>
      </w:tr>
      <w:tr>
        <w:tblPrEx>
          <w:tblCellMar>
            <w:top w:w="0" w:type="dxa"/>
            <w:left w:w="0" w:type="dxa"/>
            <w:bottom w:w="0" w:type="dxa"/>
            <w:right w:w="0" w:type="dxa"/>
          </w:tblCellMar>
        </w:tblPrEx>
        <w:trPr>
          <w:trHeight w:val="481"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学院名称：</w:t>
            </w:r>
            <w:r>
              <w:rPr>
                <w:rFonts w:hint="eastAsia" w:ascii="微软雅黑" w:hAnsi="微软雅黑" w:eastAsia="微软雅黑"/>
                <w:color w:val="000000"/>
                <w:sz w:val="30"/>
                <w:szCs w:val="30"/>
                <w:u w:val="single"/>
              </w:rPr>
              <w:t>     </w:t>
            </w:r>
            <w:r>
              <w:rPr>
                <w:rFonts w:hint="eastAsia" w:ascii="微软雅黑" w:hAnsi="微软雅黑" w:eastAsia="微软雅黑"/>
                <w:color w:val="000000"/>
                <w:sz w:val="30"/>
                <w:szCs w:val="30"/>
                <w:u w:val="single"/>
                <w:lang w:val="en-US" w:eastAsia="zh-CN"/>
              </w:rPr>
              <w:t>管理学院</w:t>
            </w:r>
            <w:r>
              <w:rPr>
                <w:rFonts w:hint="eastAsia" w:ascii="微软雅黑" w:hAnsi="微软雅黑" w:eastAsia="微软雅黑"/>
                <w:color w:val="000000"/>
                <w:sz w:val="30"/>
                <w:szCs w:val="30"/>
                <w:u w:val="single"/>
              </w:rPr>
              <w:t xml:space="preserve">   （盖章）</w:t>
            </w:r>
          </w:p>
        </w:tc>
      </w:tr>
    </w:tbl>
    <w:p>
      <w:pPr>
        <w:pStyle w:val="24"/>
        <w:spacing w:before="98" w:beforeAutospacing="0" w:after="0" w:afterAutospacing="0"/>
        <w:ind w:left="597" w:right="231"/>
        <w:jc w:val="center"/>
      </w:pPr>
    </w:p>
    <w:p>
      <w:pPr>
        <w:pStyle w:val="24"/>
        <w:spacing w:before="98" w:beforeAutospacing="0" w:after="0" w:afterAutospacing="0"/>
        <w:ind w:left="597" w:right="231"/>
        <w:jc w:val="center"/>
      </w:pPr>
    </w:p>
    <w:p>
      <w:pPr>
        <w:pStyle w:val="24"/>
        <w:spacing w:before="98" w:beforeAutospacing="0" w:after="0" w:afterAutospacing="0"/>
        <w:ind w:left="597" w:right="231"/>
        <w:jc w:val="center"/>
      </w:pPr>
    </w:p>
    <w:p>
      <w:pPr>
        <w:pStyle w:val="24"/>
        <w:spacing w:before="98" w:beforeAutospacing="0" w:after="0" w:afterAutospacing="0"/>
        <w:ind w:left="597" w:right="231"/>
        <w:jc w:val="center"/>
      </w:pPr>
      <w:r>
        <w:rPr>
          <w:rFonts w:hint="eastAsia"/>
          <w:u w:val="single"/>
          <w:lang w:val="en-US" w:eastAsia="zh-CN"/>
        </w:rPr>
        <w:t xml:space="preserve"> 2024 </w:t>
      </w:r>
      <w:r>
        <w:rPr>
          <w:rFonts w:hint="eastAsia"/>
        </w:rPr>
        <w:t>年</w:t>
      </w:r>
      <w:r>
        <w:rPr>
          <w:rFonts w:hint="eastAsia"/>
          <w:u w:val="single"/>
          <w:lang w:val="en-US" w:eastAsia="zh-CN"/>
        </w:rPr>
        <w:t xml:space="preserve"> 2 </w:t>
      </w:r>
      <w:r>
        <w:rPr>
          <w:rFonts w:hint="eastAsia"/>
        </w:rPr>
        <w:t>月</w:t>
      </w:r>
    </w:p>
    <w:p>
      <w:r>
        <w:br w:type="page"/>
      </w:r>
    </w:p>
    <w:p>
      <w:pPr>
        <w:jc w:val="center"/>
        <w:rPr>
          <w:rFonts w:ascii="黑体" w:hAnsi="黑体" w:eastAsia="黑体"/>
          <w:sz w:val="36"/>
          <w:szCs w:val="36"/>
        </w:rPr>
      </w:pPr>
      <w:r>
        <w:rPr>
          <w:rFonts w:ascii="黑体" w:hAnsi="黑体" w:eastAsia="黑体"/>
          <w:sz w:val="36"/>
          <w:szCs w:val="36"/>
          <w:lang w:val="zh-CN"/>
        </w:rPr>
        <w:t>目</w:t>
      </w:r>
      <w:r>
        <w:rPr>
          <w:rFonts w:hint="eastAsia" w:ascii="黑体" w:hAnsi="黑体" w:eastAsia="黑体"/>
          <w:sz w:val="36"/>
          <w:szCs w:val="36"/>
          <w:lang w:val="en-US" w:eastAsia="zh-CN"/>
        </w:rPr>
        <w:t xml:space="preserve"> </w:t>
      </w:r>
      <w:r>
        <w:rPr>
          <w:rFonts w:ascii="黑体" w:hAnsi="黑体" w:eastAsia="黑体"/>
          <w:sz w:val="36"/>
          <w:szCs w:val="36"/>
          <w:lang w:val="zh-CN"/>
        </w:rPr>
        <w:t>录</w:t>
      </w:r>
    </w:p>
    <w:p>
      <w:pPr>
        <w:pStyle w:val="15"/>
        <w:keepNext w:val="0"/>
        <w:keepLines w:val="0"/>
        <w:pageBreakBefore w:val="0"/>
        <w:widowControl/>
        <w:tabs>
          <w:tab w:val="right" w:pos="3200"/>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sz w:val="24"/>
          <w:szCs w:val="24"/>
        </w:rPr>
        <w:fldChar w:fldCharType="begin"/>
      </w:r>
      <w:r>
        <w:rPr>
          <w:sz w:val="24"/>
          <w:szCs w:val="24"/>
        </w:rPr>
        <w:instrText xml:space="preserve"> TOC \o "1-3" \h \z \u </w:instrText>
      </w:r>
      <w:r>
        <w:rPr>
          <w:sz w:val="24"/>
          <w:szCs w:val="24"/>
        </w:rPr>
        <w:fldChar w:fldCharType="separate"/>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_Toc19938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1.专业概况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_Toc19938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_Toc29398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1.1专业设置情况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_Toc29398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_Toc1025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1.2人才培养目标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_Toc1025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_Toc12000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2.毕业要求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_Toc12000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_Toc14286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kern w:val="2"/>
          <w:sz w:val="24"/>
          <w:szCs w:val="24"/>
          <w:lang w:val="en-US" w:eastAsia="zh-CN" w:bidi="ar-SA"/>
        </w:rPr>
        <w:t>3.培养情况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_Toc14286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_Toc21072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3.1专业建设情况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_Toc21072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_Toc11541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3.2专业教学计划</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_Toc11541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_Toc32600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3.3专业课开设情况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_Toc32600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_Toc31877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3.4专业课课堂规模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_Toc31877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_Toc5643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3.5专业的核心课程情况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_Toc5643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_Toc3972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3.6实验教学情况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_Toc3972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_Toc9579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3.7实践教学情况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_Toc9579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_Toc8051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3.8创新创业教育</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_Toc8051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_Toc30226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3.9学生毕业综合训练情况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_Toc30226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_Toc31804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3.10教学改革</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_Toc31804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_Toc794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4.教师队伍</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_Toc794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_Toc15391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4.1专业教师数量与结构</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_Toc15391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_Toc6946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4.2授课师资分析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_Toc6946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_Toc18200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4.3教师教学科研情况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_Toc18200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_Toc29349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5.支持条件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_Toc29349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_Toc605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5.1学校生均教学经费情况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_Toc605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_Toc31243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5.2支撑专业实验教学校内场所情况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_Toc31243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_Toc17589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5.3校外本科教学实习实训基地情况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_Toc17589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_Toc7434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 质量保障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_Toc7434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_Toc17092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6.1质量保障体系</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_Toc17092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_Toc32344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6.2质量监控制度及实施办法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_Toc32344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_Toc23169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6.3质量评估反馈及持续改进</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_Toc23169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_Toc6600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6.4在校生与毕业生满意度</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_Toc6600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_Toc8034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7.学生发展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_Toc8034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_Toc18482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7.1本科在校生数量基本情况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_Toc18482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_Toc21780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7.2专业招生录取率和新生报到率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_Toc21780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_Toc15336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7.3毕业生毕业率、学位授予率与去向落实率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_Toc15336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_Toc13487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7.4学风建设情况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_Toc13487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_Toc386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8.特色发展与案例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_Toc386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_Toc30916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9.问题与对策</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_Toc30916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_Toc12350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lang w:val="en-US" w:eastAsia="zh-CN"/>
        </w:rPr>
        <w:t>9.1存在的问题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_Toc12350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line="360" w:lineRule="auto"/>
        <w:ind w:left="0" w:leftChars="0" w:firstLine="0" w:firstLineChars="0"/>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_Toc20160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lang w:val="en-US" w:eastAsia="zh-CN"/>
        </w:rPr>
        <w:t>9.2改进的对策</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_Toc20160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4"/>
        <w:keepNext w:val="0"/>
        <w:keepLines w:val="0"/>
        <w:pageBreakBefore w:val="0"/>
        <w:widowControl/>
        <w:kinsoku/>
        <w:wordWrap/>
        <w:overflowPunct/>
        <w:topLinePunct w:val="0"/>
        <w:autoSpaceDE/>
        <w:autoSpaceDN/>
        <w:bidi w:val="0"/>
        <w:adjustRightInd/>
        <w:snapToGrid/>
        <w:spacing w:before="98" w:beforeAutospacing="0" w:after="0" w:afterAutospacing="0" w:line="360" w:lineRule="auto"/>
        <w:ind w:left="597" w:right="231"/>
        <w:jc w:val="center"/>
        <w:textAlignment w:val="auto"/>
      </w:pPr>
      <w:r>
        <w:rPr>
          <w:sz w:val="24"/>
          <w:szCs w:val="24"/>
        </w:rPr>
        <w:fldChar w:fldCharType="end"/>
      </w:r>
    </w:p>
    <w:p>
      <w:pPr>
        <w:sectPr>
          <w:footerReference r:id="rId3" w:type="default"/>
          <w:pgSz w:w="11906" w:h="16838"/>
          <w:pgMar w:top="1440" w:right="1800" w:bottom="1440" w:left="1800" w:header="720" w:footer="720" w:gutter="0"/>
          <w:pgNumType w:fmt="decimal"/>
          <w:cols w:space="720" w:num="1"/>
          <w:docGrid w:type="lines" w:linePitch="312" w:charSpace="0"/>
        </w:sectPr>
      </w:pPr>
      <w:r>
        <w:br w:type="page"/>
      </w:r>
    </w:p>
    <w:p/>
    <w:p>
      <w:pPr>
        <w:pStyle w:val="3"/>
        <w:jc w:val="center"/>
        <w:rPr>
          <w:rFonts w:hint="eastAsia" w:ascii="宋体" w:hAnsi="宋体"/>
          <w:lang w:val="en-US" w:eastAsia="zh-CN"/>
        </w:rPr>
      </w:pPr>
      <w:bookmarkStart w:id="1" w:name="_Toc128820648"/>
      <w:bookmarkStart w:id="2" w:name="_Toc6390"/>
      <w:r>
        <w:rPr>
          <w:rFonts w:hint="eastAsia" w:ascii="宋体" w:hAnsi="宋体"/>
          <w:lang w:val="en-US" w:eastAsia="zh-CN"/>
        </w:rPr>
        <w:t>说</w:t>
      </w:r>
      <w:r>
        <w:rPr>
          <w:rFonts w:hint="eastAsia" w:ascii="宋体" w:hAnsi="宋体"/>
          <w:lang w:val="en-US" w:eastAsia="zh-CN"/>
        </w:rPr>
        <w:tab/>
      </w:r>
      <w:r>
        <w:rPr>
          <w:rFonts w:hint="eastAsia" w:ascii="宋体" w:hAnsi="宋体"/>
          <w:lang w:val="en-US" w:eastAsia="zh-CN"/>
        </w:rPr>
        <w:t>明</w:t>
      </w:r>
      <w:bookmarkEnd w:id="1"/>
      <w:bookmarkEnd w:id="2"/>
      <w:r>
        <w:rPr>
          <w:rFonts w:hint="eastAsia" w:ascii="宋体" w:hAnsi="宋体"/>
          <w:lang w:val="en-US" w:eastAsia="zh-CN"/>
        </w:rPr>
        <w:t xml:space="preserve"> </w:t>
      </w:r>
    </w:p>
    <w:p>
      <w:pPr>
        <w:widowControl w:val="0"/>
        <w:ind w:firstLine="420"/>
        <w:rPr>
          <w:rFonts w:ascii="仿宋" w:hAnsi="仿宋" w:eastAsia="仿宋" w:cstheme="minorBidi"/>
          <w:kern w:val="2"/>
          <w:sz w:val="28"/>
          <w:szCs w:val="28"/>
        </w:rPr>
      </w:pPr>
      <w:r>
        <w:rPr>
          <w:rFonts w:ascii="仿宋" w:hAnsi="仿宋" w:eastAsia="仿宋" w:cstheme="minorBidi"/>
          <w:kern w:val="2"/>
          <w:sz w:val="28"/>
          <w:szCs w:val="28"/>
        </w:rPr>
        <w:t xml:space="preserve">除特殊说明外，本报告所有的数据资料均来自于高等教育质量监测国家数据平台，涉及专业概况、学生发展、培养目标和毕业要求、课程体系、教师队伍、支持条件和质量保障七个方面的相关信息，供专家组了解情况、分析判断、考查评估使用。 </w:t>
      </w:r>
    </w:p>
    <w:p>
      <w:pPr>
        <w:widowControl w:val="0"/>
        <w:ind w:firstLine="420"/>
        <w:rPr>
          <w:rFonts w:ascii="Times New Roman" w:hAnsi="Times New Roman" w:eastAsia="仿宋" w:cs="Times New Roman"/>
          <w:kern w:val="2"/>
          <w:sz w:val="28"/>
          <w:szCs w:val="28"/>
        </w:rPr>
      </w:pPr>
      <w:r>
        <w:rPr>
          <w:rFonts w:ascii="Times New Roman" w:hAnsi="Times New Roman" w:eastAsia="仿宋" w:cs="Times New Roman"/>
          <w:kern w:val="2"/>
          <w:sz w:val="28"/>
          <w:szCs w:val="28"/>
        </w:rPr>
        <w:t>报告中财务和科研数据的统计时点为</w:t>
      </w:r>
      <w:r>
        <w:rPr>
          <w:rFonts w:hint="eastAsia" w:ascii="Times New Roman" w:hAnsi="Times New Roman" w:eastAsia="仿宋" w:cs="Times New Roman"/>
          <w:kern w:val="2"/>
          <w:sz w:val="28"/>
          <w:szCs w:val="28"/>
          <w:lang w:val="en-US" w:eastAsia="zh-CN"/>
        </w:rPr>
        <w:t>2023</w:t>
      </w:r>
      <w:r>
        <w:rPr>
          <w:rFonts w:ascii="Times New Roman" w:hAnsi="Times New Roman" w:eastAsia="仿宋" w:cs="Times New Roman"/>
          <w:kern w:val="2"/>
          <w:sz w:val="28"/>
          <w:szCs w:val="28"/>
        </w:rPr>
        <w:t>年自然年（即</w:t>
      </w:r>
      <w:r>
        <w:rPr>
          <w:rFonts w:hint="eastAsia" w:ascii="Times New Roman" w:hAnsi="Times New Roman" w:eastAsia="仿宋" w:cs="Times New Roman"/>
          <w:kern w:val="2"/>
          <w:sz w:val="28"/>
          <w:szCs w:val="28"/>
          <w:lang w:val="en-US" w:eastAsia="zh-CN"/>
        </w:rPr>
        <w:t>2023</w:t>
      </w:r>
      <w:r>
        <w:rPr>
          <w:rFonts w:ascii="Times New Roman" w:hAnsi="Times New Roman" w:eastAsia="仿宋" w:cs="Times New Roman"/>
          <w:kern w:val="2"/>
          <w:sz w:val="28"/>
          <w:szCs w:val="28"/>
        </w:rPr>
        <w:t>年1月1日至12月31日），教学等其他数据统计时点为</w:t>
      </w:r>
      <w:r>
        <w:rPr>
          <w:rFonts w:hint="eastAsia" w:ascii="Times New Roman" w:hAnsi="Times New Roman" w:eastAsia="仿宋" w:cs="Times New Roman"/>
          <w:kern w:val="2"/>
          <w:sz w:val="28"/>
          <w:szCs w:val="28"/>
          <w:lang w:val="en-US" w:eastAsia="zh-CN"/>
        </w:rPr>
        <w:t>2022-2023</w:t>
      </w:r>
      <w:r>
        <w:rPr>
          <w:rFonts w:ascii="Times New Roman" w:hAnsi="Times New Roman" w:eastAsia="仿宋" w:cs="Times New Roman"/>
          <w:kern w:val="2"/>
          <w:sz w:val="28"/>
          <w:szCs w:val="28"/>
        </w:rPr>
        <w:t xml:space="preserve">学年（即 </w:t>
      </w:r>
      <w:r>
        <w:rPr>
          <w:rFonts w:hint="eastAsia" w:ascii="Times New Roman" w:hAnsi="Times New Roman" w:eastAsia="仿宋" w:cs="Times New Roman"/>
          <w:kern w:val="2"/>
          <w:sz w:val="28"/>
          <w:szCs w:val="28"/>
          <w:lang w:val="en-US" w:eastAsia="zh-CN"/>
        </w:rPr>
        <w:t>2022</w:t>
      </w:r>
      <w:r>
        <w:rPr>
          <w:rFonts w:ascii="Times New Roman" w:hAnsi="Times New Roman" w:eastAsia="仿宋" w:cs="Times New Roman"/>
          <w:kern w:val="2"/>
          <w:sz w:val="28"/>
          <w:szCs w:val="28"/>
        </w:rPr>
        <w:t xml:space="preserve">年 9 月 1 日至 </w:t>
      </w:r>
      <w:r>
        <w:rPr>
          <w:rFonts w:hint="eastAsia" w:ascii="Times New Roman" w:hAnsi="Times New Roman" w:eastAsia="仿宋" w:cs="Times New Roman"/>
          <w:kern w:val="2"/>
          <w:sz w:val="28"/>
          <w:szCs w:val="28"/>
          <w:lang w:val="en-US" w:eastAsia="zh-CN"/>
        </w:rPr>
        <w:t>2023</w:t>
      </w:r>
      <w:r>
        <w:rPr>
          <w:rFonts w:ascii="Times New Roman" w:hAnsi="Times New Roman" w:eastAsia="仿宋" w:cs="Times New Roman"/>
          <w:kern w:val="2"/>
          <w:sz w:val="28"/>
          <w:szCs w:val="28"/>
        </w:rPr>
        <w:t>年 8 月 31 日）。</w:t>
      </w:r>
    </w:p>
    <w:p>
      <w:pPr>
        <w:rPr>
          <w:rFonts w:ascii="仿宋" w:hAnsi="仿宋" w:eastAsia="仿宋" w:cstheme="minorBidi"/>
          <w:kern w:val="2"/>
          <w:sz w:val="28"/>
          <w:szCs w:val="28"/>
        </w:rPr>
      </w:pPr>
      <w:r>
        <w:rPr>
          <w:rFonts w:ascii="仿宋" w:hAnsi="仿宋" w:eastAsia="仿宋" w:cstheme="minorBidi"/>
          <w:kern w:val="2"/>
          <w:sz w:val="28"/>
          <w:szCs w:val="28"/>
        </w:rPr>
        <w:br w:type="page"/>
      </w:r>
    </w:p>
    <w:p>
      <w:pPr>
        <w:pStyle w:val="3"/>
        <w:pageBreakBefore/>
        <w:spacing w:after="120" w:line="415" w:lineRule="auto"/>
        <w:jc w:val="left"/>
        <w:rPr>
          <w:rFonts w:hint="eastAsia" w:ascii="宋体" w:hAnsi="宋体"/>
          <w:sz w:val="28"/>
          <w:szCs w:val="28"/>
        </w:rPr>
        <w:sectPr>
          <w:footerReference r:id="rId4" w:type="default"/>
          <w:pgSz w:w="11906" w:h="16838"/>
          <w:pgMar w:top="1440" w:right="1800" w:bottom="1440" w:left="1800" w:header="720" w:footer="720" w:gutter="0"/>
          <w:pgNumType w:fmt="upperRoman" w:start="1"/>
          <w:cols w:space="720" w:num="1"/>
          <w:docGrid w:type="lines" w:linePitch="312" w:charSpace="0"/>
        </w:sectPr>
      </w:pPr>
    </w:p>
    <w:p>
      <w:pPr>
        <w:pStyle w:val="3"/>
        <w:pageBreakBefore/>
        <w:spacing w:after="120" w:line="415" w:lineRule="auto"/>
        <w:jc w:val="left"/>
        <w:rPr>
          <w:rFonts w:hint="eastAsia" w:ascii="宋体" w:hAnsi="宋体"/>
          <w:sz w:val="28"/>
          <w:szCs w:val="28"/>
        </w:rPr>
      </w:pPr>
      <w:bookmarkStart w:id="3" w:name="_Toc19938"/>
      <w:r>
        <w:rPr>
          <w:rFonts w:hint="eastAsia" w:ascii="宋体" w:hAnsi="宋体"/>
          <w:sz w:val="28"/>
          <w:szCs w:val="28"/>
        </w:rPr>
        <w:t>1.专业概况</w:t>
      </w:r>
      <w:bookmarkEnd w:id="3"/>
    </w:p>
    <w:p>
      <w:pPr>
        <w:pStyle w:val="4"/>
        <w:rPr>
          <w:rFonts w:hint="eastAsia" w:ascii="宋体" w:hAnsi="宋体" w:eastAsia="宋体"/>
          <w:b/>
          <w:bCs/>
          <w:sz w:val="24"/>
          <w:szCs w:val="24"/>
        </w:rPr>
      </w:pPr>
      <w:bookmarkStart w:id="4" w:name="_Toc29398"/>
      <w:r>
        <w:rPr>
          <w:rFonts w:hint="eastAsia" w:ascii="宋体" w:hAnsi="宋体" w:eastAsia="宋体"/>
          <w:b/>
          <w:bCs/>
          <w:sz w:val="24"/>
          <w:szCs w:val="24"/>
        </w:rPr>
        <w:t>1.1专业设置情况</w:t>
      </w:r>
      <w:bookmarkEnd w:id="4"/>
    </w:p>
    <w:p>
      <w:pPr>
        <w:spacing w:line="360" w:lineRule="auto"/>
        <w:ind w:firstLine="480" w:firstLineChars="200"/>
        <w:jc w:val="both"/>
        <w:rPr>
          <w:rFonts w:hint="default" w:ascii="Times New Roman" w:hAnsi="Times New Roman" w:cs="Times New Roman"/>
          <w:szCs w:val="28"/>
        </w:rPr>
      </w:pPr>
      <w:r>
        <w:rPr>
          <w:rFonts w:hint="default" w:ascii="Times New Roman" w:hAnsi="Times New Roman" w:cs="Times New Roman"/>
          <w:szCs w:val="28"/>
        </w:rPr>
        <w:t>上海工程技术大学市场营销专业的起源可以追溯到20世纪70年代末，当时学校在原上海交通大学机电分校办学基础上，已开始为企业管理专业学生开设市场营销学课程。此后为了进一步满足社会对营销人才的需求，市场营销本科专业于1994年正式成立。2011年，随着学科建设的发展和完善，管理学院在工商管理一级学科硕士点下，设</w:t>
      </w:r>
      <w:r>
        <w:rPr>
          <w:rFonts w:hint="default" w:ascii="Times New Roman" w:hAnsi="Times New Roman" w:eastAsia="宋体" w:cs="Times New Roman"/>
          <w:szCs w:val="28"/>
        </w:rPr>
        <w:t>立</w:t>
      </w:r>
      <w:r>
        <w:rPr>
          <w:rFonts w:hint="eastAsia" w:ascii="宋体" w:hAnsi="宋体" w:eastAsia="宋体" w:cs="宋体"/>
          <w:szCs w:val="28"/>
        </w:rPr>
        <w:t>“市场营销”</w:t>
      </w:r>
      <w:r>
        <w:rPr>
          <w:rFonts w:hint="default" w:ascii="Times New Roman" w:hAnsi="Times New Roman" w:cs="Times New Roman"/>
          <w:szCs w:val="28"/>
        </w:rPr>
        <w:t>研究生培养方向。此后十年奋进，市场营销专业于2021年获批国家级一流本科专业建设点，2022年成为教育部市场营销专业虚拟教研室成员。</w:t>
      </w:r>
    </w:p>
    <w:p>
      <w:pPr>
        <w:spacing w:line="360" w:lineRule="auto"/>
        <w:ind w:firstLine="480" w:firstLineChars="200"/>
        <w:jc w:val="both"/>
        <w:rPr>
          <w:rFonts w:hint="default" w:ascii="Times New Roman" w:hAnsi="Times New Roman" w:cs="Times New Roman"/>
          <w:szCs w:val="28"/>
        </w:rPr>
      </w:pPr>
      <w:r>
        <w:rPr>
          <w:rFonts w:hint="default" w:ascii="Times New Roman" w:hAnsi="Times New Roman" w:cs="Times New Roman"/>
          <w:szCs w:val="28"/>
        </w:rPr>
        <w:t>几十年来，市场营销专业围绕培养高等应用型营销管理人才目标，紧密依托上海工程技术大学工程教育办学优势，主动对接上海地区产业发展需求，在以市场营销主干专业课程为核心的基础上，依托于学校的优势办学资源，聚焦服装和汽车两个产业，设置市场营销、汽车营销和服装营销三个专业方向，形成</w:t>
      </w:r>
      <w:r>
        <w:rPr>
          <w:rFonts w:hint="default" w:ascii="Times New Roman" w:hAnsi="Times New Roman" w:eastAsia="宋体" w:cs="Times New Roman"/>
          <w:szCs w:val="28"/>
        </w:rPr>
        <w:t>了</w:t>
      </w:r>
      <w:r>
        <w:rPr>
          <w:rFonts w:hint="eastAsia" w:ascii="宋体" w:hAnsi="宋体" w:eastAsia="宋体" w:cs="宋体"/>
          <w:szCs w:val="28"/>
        </w:rPr>
        <w:t>“一核心、两产业、三方向”</w:t>
      </w:r>
      <w:r>
        <w:rPr>
          <w:rFonts w:hint="default" w:ascii="Times New Roman" w:hAnsi="Times New Roman" w:eastAsia="宋体" w:cs="Times New Roman"/>
          <w:szCs w:val="28"/>
        </w:rPr>
        <w:t>开</w:t>
      </w:r>
      <w:r>
        <w:rPr>
          <w:rFonts w:hint="default" w:ascii="Times New Roman" w:hAnsi="Times New Roman" w:cs="Times New Roman"/>
          <w:szCs w:val="28"/>
        </w:rPr>
        <w:t>放式跨专业人才培养模式。</w:t>
      </w:r>
    </w:p>
    <w:p>
      <w:pPr>
        <w:spacing w:line="360" w:lineRule="auto"/>
        <w:ind w:firstLine="480" w:firstLineChars="200"/>
        <w:jc w:val="both"/>
        <w:rPr>
          <w:rFonts w:hint="default" w:ascii="Times New Roman" w:hAnsi="Times New Roman" w:cs="Times New Roman"/>
          <w:szCs w:val="28"/>
        </w:rPr>
      </w:pPr>
      <w:r>
        <w:rPr>
          <w:rFonts w:hint="default" w:ascii="Times New Roman" w:hAnsi="Times New Roman" w:cs="Times New Roman"/>
          <w:szCs w:val="28"/>
        </w:rPr>
        <w:t>市场营销教学团队日益发展壮大，目前专任教师数量达到10人，高级职称教师比例达</w:t>
      </w:r>
      <w:r>
        <w:rPr>
          <w:rFonts w:hint="default" w:ascii="Times New Roman" w:hAnsi="Times New Roman" w:cs="Times New Roman"/>
          <w:szCs w:val="28"/>
          <w:lang w:val="en-US" w:eastAsia="zh-CN"/>
        </w:rPr>
        <w:t>4</w:t>
      </w:r>
      <w:r>
        <w:rPr>
          <w:rFonts w:hint="default" w:ascii="Times New Roman" w:hAnsi="Times New Roman" w:cs="Times New Roman"/>
          <w:szCs w:val="28"/>
        </w:rPr>
        <w:t>0%，具有博士学位的教师比例为</w:t>
      </w:r>
      <w:r>
        <w:rPr>
          <w:rFonts w:hint="default" w:ascii="Times New Roman" w:hAnsi="Times New Roman" w:cs="Times New Roman"/>
          <w:szCs w:val="28"/>
          <w:lang w:val="en-US" w:eastAsia="zh-CN"/>
        </w:rPr>
        <w:t>8</w:t>
      </w:r>
      <w:r>
        <w:rPr>
          <w:rFonts w:hint="default" w:ascii="Times New Roman" w:hAnsi="Times New Roman" w:cs="Times New Roman"/>
          <w:szCs w:val="28"/>
        </w:rPr>
        <w:t>0%，形成了一支年龄、学历、职称、知识结构合理，教学科研水平高，敬业、乐业、专业的学科师资队伍。目前，市场营销专业各类全日制在校生为1</w:t>
      </w:r>
      <w:r>
        <w:rPr>
          <w:rFonts w:hint="default" w:ascii="Times New Roman" w:hAnsi="Times New Roman" w:cs="Times New Roman"/>
          <w:szCs w:val="28"/>
          <w:lang w:val="en-US" w:eastAsia="zh-CN"/>
        </w:rPr>
        <w:t>6</w:t>
      </w:r>
      <w:r>
        <w:rPr>
          <w:rFonts w:hint="default" w:ascii="Times New Roman" w:hAnsi="Times New Roman" w:cs="Times New Roman"/>
          <w:szCs w:val="28"/>
        </w:rPr>
        <w:t>4人，专业生源稳定</w:t>
      </w:r>
      <w:r>
        <w:rPr>
          <w:rFonts w:hint="default" w:ascii="Times New Roman" w:hAnsi="Times New Roman" w:cs="Times New Roman"/>
          <w:szCs w:val="28"/>
          <w:lang w:eastAsia="zh-CN"/>
        </w:rPr>
        <w:t>，</w:t>
      </w:r>
      <w:r>
        <w:rPr>
          <w:rFonts w:hint="default" w:ascii="Times New Roman" w:hAnsi="Times New Roman" w:cs="Times New Roman"/>
          <w:szCs w:val="28"/>
          <w:lang w:val="en-US" w:eastAsia="zh-CN"/>
        </w:rPr>
        <w:t>培养</w:t>
      </w:r>
      <w:r>
        <w:rPr>
          <w:rFonts w:hint="default" w:ascii="Times New Roman" w:hAnsi="Times New Roman" w:cs="Times New Roman"/>
          <w:szCs w:val="28"/>
        </w:rPr>
        <w:t>质量逐年上升，毕业生专业水平扎实、综合素养良好、动手能力较强，深受用人单位和学生家长好评。</w:t>
      </w:r>
    </w:p>
    <w:p>
      <w:pPr>
        <w:spacing w:line="240" w:lineRule="auto"/>
        <w:jc w:val="center"/>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表1 市场营销专业设置情况</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442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80"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ind w:left="2659" w:right="2650"/>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hint="default" w:ascii="Times New Roman" w:hAnsi="Times New Roman" w:cs="Times New Roman"/>
                <w:sz w:val="21"/>
                <w:szCs w:val="21"/>
              </w:rPr>
            </w:pPr>
            <w:r>
              <w:rPr>
                <w:rFonts w:hint="default" w:ascii="Times New Roman" w:hAnsi="Times New Roman" w:cs="Times New Roman"/>
                <w:sz w:val="21"/>
                <w:szCs w:val="21"/>
              </w:rPr>
              <w:t>学校情况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rPr>
            </w:pPr>
            <w:r>
              <w:rPr>
                <w:rFonts w:hint="default" w:ascii="Times New Roman" w:hAnsi="Times New Roman" w:cs="Times New Roman"/>
                <w:sz w:val="21"/>
                <w:szCs w:val="22"/>
              </w:rPr>
              <w:t>专业基本信息</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专业代码</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120202</w:t>
            </w:r>
            <w:bookmarkStart w:id="5" w:name="OLE_LINK2"/>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专业名称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市场营销</w:t>
            </w:r>
            <w:bookmarkStart w:id="6" w:name="OLE_LINK3"/>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所属单位名称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专业设置年份</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1994</w:t>
            </w:r>
            <w:bookmarkStart w:id="7" w:name="OLE_LINK4"/>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bookmarkStart w:id="8" w:name="OLE_LINK5"/>
            <w:r>
              <w:rPr>
                <w:rFonts w:hint="default" w:ascii="Times New Roman" w:hAnsi="Times New Roman" w:cs="Times New Roman"/>
                <w:sz w:val="21"/>
                <w:szCs w:val="22"/>
              </w:rPr>
              <w:t>优势专业类型</w:t>
            </w:r>
            <w:bookmarkEnd w:id="8"/>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国家级一流专业建设点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学制</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bookmarkStart w:id="9" w:name="OLE_LINK6"/>
            <w:r>
              <w:rPr>
                <w:rFonts w:hint="default" w:ascii="Times New Roman" w:hAnsi="Times New Roman" w:cs="Times New Roman"/>
                <w:sz w:val="21"/>
                <w:szCs w:val="22"/>
              </w:rPr>
              <w:t>允许修业年限</w:t>
            </w:r>
            <w:bookmarkEnd w:id="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bookmarkStart w:id="10" w:name="OLE_LINK7"/>
            <w:r>
              <w:rPr>
                <w:rFonts w:hint="default" w:ascii="Times New Roman" w:hAnsi="Times New Roman" w:cs="Times New Roman"/>
                <w:sz w:val="21"/>
                <w:szCs w:val="22"/>
              </w:rPr>
              <w:t>授予学位门类</w:t>
            </w:r>
            <w:bookmarkEnd w:id="1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管理学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在校本科学生数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当年计划招生数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专业教师数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专业课授课校内教师数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外聘授课教师数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应届本科毕业生去向落实率</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93.75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学校生师比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17.95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专业教师与本科生之比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专业课授课教师（本学院）与本科生之比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rPr>
            </w:pPr>
            <w:r>
              <w:rPr>
                <w:rFonts w:hint="default" w:ascii="Times New Roman" w:hAnsi="Times New Roman" w:cs="Times New Roman"/>
                <w:sz w:val="21"/>
                <w:szCs w:val="22"/>
              </w:rPr>
              <w:t>专业负责人</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田雪莹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是否外聘</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专业技术职称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最高学位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学历</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是否双师型</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是否行业背景</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导师类别</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校内指导博士生数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校内指导硕士生数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承担专业教学课程（门）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rFonts w:hint="default" w:ascii="Times New Roman" w:hAnsi="Times New Roman" w:cs="Times New Roman"/>
                <w:sz w:val="21"/>
                <w:szCs w:val="22"/>
              </w:rPr>
            </w:pPr>
            <w:r>
              <w:rPr>
                <w:rFonts w:hint="default" w:ascii="Times New Roman" w:hAnsi="Times New Roman" w:cs="Times New Roman"/>
                <w:sz w:val="21"/>
                <w:szCs w:val="22"/>
              </w:rPr>
              <w:t>其中：专业核心课程（门）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rFonts w:hint="default" w:ascii="Times New Roman" w:hAnsi="Times New Roman" w:cs="Times New Roman"/>
                <w:sz w:val="21"/>
                <w:szCs w:val="22"/>
              </w:rPr>
            </w:pPr>
            <w:r>
              <w:rPr>
                <w:rFonts w:hint="default" w:ascii="Times New Roman" w:hAnsi="Times New Roman" w:cs="Times New Roman"/>
                <w:sz w:val="21"/>
                <w:szCs w:val="21"/>
              </w:rPr>
              <w:t>1</w:t>
            </w:r>
          </w:p>
        </w:tc>
      </w:tr>
    </w:tbl>
    <w:p>
      <w:pPr>
        <w:pStyle w:val="4"/>
        <w:rPr>
          <w:rFonts w:hint="eastAsia" w:ascii="宋体" w:hAnsi="宋体" w:eastAsia="宋体"/>
          <w:b/>
          <w:bCs/>
          <w:sz w:val="24"/>
          <w:szCs w:val="24"/>
        </w:rPr>
      </w:pPr>
      <w:bookmarkStart w:id="11" w:name="_TOC_250064"/>
      <w:bookmarkEnd w:id="11"/>
      <w:bookmarkStart w:id="12" w:name="_TOC_250067"/>
      <w:bookmarkEnd w:id="12"/>
      <w:bookmarkStart w:id="13" w:name="_Toc1025"/>
      <w:r>
        <w:rPr>
          <w:rFonts w:hint="eastAsia" w:ascii="宋体" w:hAnsi="宋体" w:eastAsia="宋体"/>
          <w:b/>
          <w:bCs/>
          <w:sz w:val="24"/>
          <w:szCs w:val="24"/>
        </w:rPr>
        <w:t>1.2人才培养目标</w:t>
      </w:r>
      <w:bookmarkEnd w:id="13"/>
    </w:p>
    <w:p>
      <w:pPr>
        <w:spacing w:line="360" w:lineRule="auto"/>
        <w:ind w:firstLine="480" w:firstLineChars="200"/>
        <w:jc w:val="both"/>
        <w:rPr>
          <w:rFonts w:ascii="宋体" w:hAnsi="宋体" w:eastAsia="宋体" w:cs="宋体"/>
          <w:szCs w:val="28"/>
        </w:rPr>
      </w:pPr>
      <w:r>
        <w:rPr>
          <w:rFonts w:ascii="宋体" w:hAnsi="宋体" w:eastAsia="宋体" w:cs="宋体"/>
          <w:szCs w:val="28"/>
        </w:rPr>
        <w:t>本专业紧跟学</w:t>
      </w:r>
      <w:r>
        <w:rPr>
          <w:rFonts w:hint="eastAsia" w:ascii="宋体" w:hAnsi="宋体" w:eastAsia="宋体" w:cs="宋体"/>
          <w:szCs w:val="28"/>
        </w:rPr>
        <w:t>校“建设现代化工程应用型特色大学”的</w:t>
      </w:r>
      <w:r>
        <w:rPr>
          <w:rFonts w:ascii="宋体" w:hAnsi="宋体" w:eastAsia="宋体" w:cs="宋体"/>
          <w:szCs w:val="28"/>
        </w:rPr>
        <w:t>发展定位，旨在培养践行社会主义核心价值观，适应现代产业和市场经济需求，服务</w:t>
      </w:r>
      <w:r>
        <w:rPr>
          <w:rFonts w:hint="eastAsia" w:ascii="宋体" w:hAnsi="宋体" w:eastAsia="宋体" w:cs="宋体"/>
          <w:szCs w:val="28"/>
          <w:lang w:val="en-US" w:eastAsia="zh-CN"/>
        </w:rPr>
        <w:t>长三角地区</w:t>
      </w:r>
      <w:r>
        <w:rPr>
          <w:rFonts w:ascii="宋体" w:hAnsi="宋体" w:eastAsia="宋体" w:cs="宋体"/>
          <w:szCs w:val="28"/>
        </w:rPr>
        <w:t>经济社会发展需要，熟练掌握计算机办公软件操作，具备一定的英语听说读写能力，拥有扎实的经济学、管理学和营销学理论基础，系统掌握市场营销专业知识和技能，具备良好的职业道德与较强的实践能力，既能胜任在生产、流通及服务型企业从事市场调查、营销策划、销售管理、品牌推广、新媒体营销等工作，又能胜任在事业单位、行政部门从事营销管理类咨询工作，具有国际视野、人文情怀、创新精神、实践能力和较强工程教育背景的高素质应用型营销管理人才。</w:t>
      </w:r>
    </w:p>
    <w:p>
      <w:pPr>
        <w:pStyle w:val="3"/>
        <w:pageBreakBefore/>
        <w:spacing w:after="120" w:line="415" w:lineRule="auto"/>
        <w:jc w:val="left"/>
        <w:rPr>
          <w:rFonts w:hint="eastAsia" w:ascii="宋体" w:hAnsi="宋体"/>
          <w:sz w:val="28"/>
          <w:szCs w:val="28"/>
        </w:rPr>
      </w:pPr>
      <w:bookmarkStart w:id="14" w:name="_Toc12000"/>
      <w:r>
        <w:rPr>
          <w:rFonts w:hint="eastAsia" w:ascii="宋体" w:hAnsi="宋体"/>
          <w:sz w:val="28"/>
          <w:szCs w:val="28"/>
        </w:rPr>
        <w:t>2.毕业要求</w:t>
      </w:r>
      <w:bookmarkEnd w:id="14"/>
    </w:p>
    <w:p>
      <w:pPr>
        <w:spacing w:line="360" w:lineRule="auto"/>
        <w:ind w:firstLine="480" w:firstLineChars="200"/>
        <w:jc w:val="both"/>
        <w:rPr>
          <w:rFonts w:hint="default" w:ascii="Times New Roman" w:hAnsi="Times New Roman" w:cs="Times New Roman"/>
          <w:szCs w:val="28"/>
        </w:rPr>
      </w:pPr>
      <w:r>
        <w:rPr>
          <w:rFonts w:hint="default" w:ascii="Times New Roman" w:hAnsi="Times New Roman" w:cs="Times New Roman"/>
          <w:szCs w:val="28"/>
          <w:lang w:eastAsia="zh-CN"/>
        </w:rPr>
        <w:t>（</w:t>
      </w:r>
      <w:r>
        <w:rPr>
          <w:rFonts w:hint="default" w:ascii="Times New Roman" w:hAnsi="Times New Roman" w:cs="Times New Roman"/>
          <w:szCs w:val="28"/>
          <w:lang w:val="en-US" w:eastAsia="zh-CN"/>
        </w:rPr>
        <w:t>1</w:t>
      </w:r>
      <w:r>
        <w:rPr>
          <w:rFonts w:hint="default" w:ascii="Times New Roman" w:hAnsi="Times New Roman" w:cs="Times New Roman"/>
          <w:szCs w:val="28"/>
          <w:lang w:eastAsia="zh-CN"/>
        </w:rPr>
        <w:t>）</w:t>
      </w:r>
      <w:r>
        <w:rPr>
          <w:rFonts w:hint="default" w:ascii="Times New Roman" w:hAnsi="Times New Roman" w:cs="Times New Roman"/>
          <w:szCs w:val="28"/>
        </w:rPr>
        <w:t>毕业要求</w:t>
      </w:r>
      <w:r>
        <w:rPr>
          <w:rFonts w:hint="default" w:ascii="Times New Roman" w:hAnsi="Times New Roman" w:cs="Times New Roman"/>
          <w:szCs w:val="28"/>
          <w:lang w:val="en-US" w:eastAsia="zh-CN"/>
        </w:rPr>
        <w:t>内容</w:t>
      </w:r>
    </w:p>
    <w:p>
      <w:pPr>
        <w:spacing w:line="360" w:lineRule="auto"/>
        <w:ind w:firstLine="480" w:firstLineChars="200"/>
        <w:jc w:val="both"/>
        <w:rPr>
          <w:rFonts w:hint="default" w:ascii="Times New Roman" w:hAnsi="Times New Roman" w:cs="Times New Roman"/>
          <w:szCs w:val="28"/>
        </w:rPr>
      </w:pPr>
      <w:r>
        <w:rPr>
          <w:rFonts w:hint="default" w:ascii="Times New Roman" w:hAnsi="Times New Roman" w:cs="Times New Roman"/>
          <w:szCs w:val="28"/>
        </w:rPr>
        <w:t>①拥护党的领导和社会主义制度，爱祖国、爱人民、爱集体，具有家国情怀、文化素养、法治意识和道德修养，践行社会主义核心价值观，拥有社会责任感和职业精神。</w:t>
      </w:r>
    </w:p>
    <w:p>
      <w:pPr>
        <w:spacing w:line="360" w:lineRule="auto"/>
        <w:ind w:firstLine="480" w:firstLineChars="200"/>
        <w:jc w:val="both"/>
        <w:rPr>
          <w:rFonts w:hint="default" w:ascii="Times New Roman" w:hAnsi="Times New Roman" w:cs="Times New Roman"/>
          <w:szCs w:val="28"/>
        </w:rPr>
      </w:pPr>
      <w:r>
        <w:rPr>
          <w:rFonts w:hint="default" w:ascii="Times New Roman" w:hAnsi="Times New Roman" w:cs="Times New Roman"/>
          <w:szCs w:val="28"/>
        </w:rPr>
        <w:t>②熟悉我国有关市场营销的方针、政策和法规，了解国际市场营销的惯例与规则。</w:t>
      </w:r>
    </w:p>
    <w:p>
      <w:pPr>
        <w:spacing w:line="360" w:lineRule="auto"/>
        <w:ind w:firstLine="480" w:firstLineChars="200"/>
        <w:jc w:val="both"/>
        <w:rPr>
          <w:rFonts w:hint="default" w:ascii="Times New Roman" w:hAnsi="Times New Roman" w:cs="Times New Roman"/>
          <w:szCs w:val="28"/>
        </w:rPr>
      </w:pPr>
      <w:r>
        <w:rPr>
          <w:rFonts w:hint="default" w:ascii="Times New Roman" w:hAnsi="Times New Roman" w:cs="Times New Roman"/>
          <w:szCs w:val="28"/>
        </w:rPr>
        <w:t>③掌握市场营销的定性与定量分析方法，具有为企业推出新产品（或新品牌）、开拓新区域（行业）市场的营销方案进行策划的能力。</w:t>
      </w:r>
    </w:p>
    <w:p>
      <w:pPr>
        <w:spacing w:line="360" w:lineRule="auto"/>
        <w:ind w:firstLine="480" w:firstLineChars="200"/>
        <w:jc w:val="both"/>
        <w:rPr>
          <w:rFonts w:hint="default" w:ascii="Times New Roman" w:hAnsi="Times New Roman" w:cs="Times New Roman"/>
          <w:szCs w:val="28"/>
        </w:rPr>
      </w:pPr>
      <w:r>
        <w:rPr>
          <w:rFonts w:hint="default" w:ascii="Times New Roman" w:hAnsi="Times New Roman" w:cs="Times New Roman"/>
          <w:szCs w:val="28"/>
        </w:rPr>
        <w:t>④掌握管理学、经济学和现代市场营销学的基本理论和基本知识。</w:t>
      </w:r>
    </w:p>
    <w:p>
      <w:pPr>
        <w:spacing w:line="360" w:lineRule="auto"/>
        <w:ind w:firstLine="480" w:firstLineChars="200"/>
        <w:jc w:val="both"/>
        <w:rPr>
          <w:rFonts w:hint="default" w:ascii="Times New Roman" w:hAnsi="Times New Roman" w:cs="Times New Roman"/>
          <w:szCs w:val="28"/>
        </w:rPr>
      </w:pPr>
      <w:r>
        <w:rPr>
          <w:rFonts w:hint="default" w:ascii="Times New Roman" w:hAnsi="Times New Roman" w:cs="Times New Roman"/>
          <w:szCs w:val="28"/>
        </w:rPr>
        <w:t>⑤了解本学科的理论前沿和发展动态，应用互联网、大数据、新媒体等新型的营销技术、方法和手段开展市场营销。</w:t>
      </w:r>
    </w:p>
    <w:p>
      <w:pPr>
        <w:spacing w:line="360" w:lineRule="auto"/>
        <w:ind w:firstLine="480" w:firstLineChars="200"/>
        <w:jc w:val="both"/>
        <w:rPr>
          <w:rFonts w:hint="default" w:ascii="Times New Roman" w:hAnsi="Times New Roman" w:cs="Times New Roman"/>
          <w:szCs w:val="28"/>
        </w:rPr>
      </w:pPr>
      <w:r>
        <w:rPr>
          <w:rFonts w:hint="default" w:ascii="Times New Roman" w:hAnsi="Times New Roman" w:cs="Times New Roman"/>
          <w:szCs w:val="28"/>
        </w:rPr>
        <w:t>⑥较熟练地掌握一门外语，能比较顺利地阅读本专业外文文献，并具有听、说、写基础。</w:t>
      </w:r>
    </w:p>
    <w:p>
      <w:pPr>
        <w:spacing w:line="360" w:lineRule="auto"/>
        <w:ind w:firstLine="480" w:firstLineChars="200"/>
        <w:jc w:val="both"/>
        <w:rPr>
          <w:rFonts w:hint="default" w:ascii="Times New Roman" w:hAnsi="Times New Roman" w:cs="Times New Roman"/>
          <w:szCs w:val="28"/>
        </w:rPr>
      </w:pPr>
      <w:r>
        <w:rPr>
          <w:rFonts w:hint="default" w:ascii="Times New Roman" w:hAnsi="Times New Roman" w:cs="Times New Roman"/>
          <w:szCs w:val="28"/>
        </w:rPr>
        <w:t>⑦掌握计算机原理，能熟练使用办公自动化软件，并能对常用管理模型进行程序设计。</w:t>
      </w:r>
    </w:p>
    <w:p>
      <w:pPr>
        <w:spacing w:line="360" w:lineRule="auto"/>
        <w:ind w:firstLine="480" w:firstLineChars="200"/>
        <w:jc w:val="both"/>
        <w:rPr>
          <w:rFonts w:hint="default" w:ascii="Times New Roman" w:hAnsi="Times New Roman" w:cs="Times New Roman"/>
          <w:szCs w:val="28"/>
        </w:rPr>
      </w:pPr>
      <w:r>
        <w:rPr>
          <w:rFonts w:hint="default" w:ascii="Times New Roman" w:hAnsi="Times New Roman" w:cs="Times New Roman"/>
          <w:szCs w:val="28"/>
        </w:rPr>
        <w:t>⑧修读人文科学、社会科学课程，参加社会实践和第二课堂的活动，具备营销基本素养；拥有健康向上的意志力和人格魅力；具备审美与文化素质。</w:t>
      </w:r>
    </w:p>
    <w:p>
      <w:pPr>
        <w:spacing w:line="360" w:lineRule="auto"/>
        <w:ind w:firstLine="480" w:firstLineChars="200"/>
        <w:jc w:val="both"/>
        <w:rPr>
          <w:rFonts w:hint="default" w:ascii="Times New Roman" w:hAnsi="Times New Roman" w:cs="Times New Roman"/>
          <w:szCs w:val="28"/>
        </w:rPr>
      </w:pPr>
      <w:r>
        <w:rPr>
          <w:rFonts w:hint="default" w:ascii="Times New Roman" w:hAnsi="Times New Roman" w:cs="Times New Roman"/>
          <w:szCs w:val="28"/>
        </w:rPr>
        <w:t>⑨具备较强的语言与文字表达能力、人际沟通能力及分析和解决营销实际问题的能力。</w:t>
      </w:r>
    </w:p>
    <w:p>
      <w:pPr>
        <w:spacing w:line="360" w:lineRule="auto"/>
        <w:ind w:firstLine="480" w:firstLineChars="200"/>
        <w:jc w:val="both"/>
        <w:rPr>
          <w:rFonts w:hint="default" w:ascii="Times New Roman" w:hAnsi="Times New Roman" w:cs="Times New Roman"/>
          <w:szCs w:val="28"/>
        </w:rPr>
      </w:pPr>
      <w:r>
        <w:rPr>
          <w:rFonts w:hint="default" w:ascii="Times New Roman" w:hAnsi="Times New Roman" w:cs="Times New Roman"/>
          <w:szCs w:val="28"/>
        </w:rPr>
        <w:t>⑩掌握文献检索、资料查询的基本方法，具有一定科学研究和实际工作能力，具有一定的批判性思维能力。</w:t>
      </w:r>
    </w:p>
    <w:p>
      <w:pPr>
        <w:spacing w:line="360" w:lineRule="auto"/>
        <w:ind w:firstLine="480" w:firstLineChars="200"/>
        <w:jc w:val="both"/>
        <w:rPr>
          <w:rFonts w:hint="default" w:ascii="Times New Roman" w:hAnsi="Times New Roman" w:eastAsia="宋体" w:cs="Times New Roman"/>
          <w:szCs w:val="28"/>
          <w:lang w:val="en-US" w:eastAsia="zh-CN"/>
        </w:rPr>
      </w:pPr>
      <w:r>
        <w:rPr>
          <w:rFonts w:hint="default" w:ascii="Times New Roman" w:hAnsi="Times New Roman" w:cs="Times New Roman"/>
          <w:szCs w:val="28"/>
          <w:lang w:eastAsia="zh-CN"/>
        </w:rPr>
        <w:t>（</w:t>
      </w:r>
      <w:r>
        <w:rPr>
          <w:rFonts w:hint="default" w:ascii="Times New Roman" w:hAnsi="Times New Roman" w:cs="Times New Roman"/>
          <w:szCs w:val="28"/>
          <w:lang w:val="en-US" w:eastAsia="zh-CN"/>
        </w:rPr>
        <w:t>2</w:t>
      </w:r>
      <w:r>
        <w:rPr>
          <w:rFonts w:hint="default" w:ascii="Times New Roman" w:hAnsi="Times New Roman" w:cs="Times New Roman"/>
          <w:szCs w:val="28"/>
          <w:lang w:eastAsia="zh-CN"/>
        </w:rPr>
        <w:t>）</w:t>
      </w:r>
      <w:r>
        <w:rPr>
          <w:rFonts w:hint="default" w:ascii="Times New Roman" w:hAnsi="Times New Roman" w:cs="Times New Roman"/>
          <w:szCs w:val="28"/>
          <w:lang w:val="en-US" w:eastAsia="zh-CN"/>
        </w:rPr>
        <w:t>毕业要求达成度</w:t>
      </w:r>
    </w:p>
    <w:p>
      <w:pPr>
        <w:spacing w:line="360" w:lineRule="auto"/>
        <w:ind w:firstLine="480" w:firstLineChars="200"/>
        <w:jc w:val="both"/>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对</w:t>
      </w:r>
      <w:r>
        <w:rPr>
          <w:rFonts w:hint="default" w:ascii="Times New Roman" w:hAnsi="Times New Roman" w:eastAsia="宋体" w:cs="Times New Roman"/>
          <w:szCs w:val="28"/>
        </w:rPr>
        <w:t>201</w:t>
      </w:r>
      <w:r>
        <w:rPr>
          <w:rFonts w:hint="default" w:ascii="Times New Roman" w:hAnsi="Times New Roman" w:eastAsia="宋体" w:cs="Times New Roman"/>
          <w:szCs w:val="28"/>
          <w:lang w:val="en-US" w:eastAsia="zh-CN"/>
        </w:rPr>
        <w:t>9</w:t>
      </w:r>
      <w:r>
        <w:rPr>
          <w:rFonts w:hint="default" w:ascii="Times New Roman" w:hAnsi="Times New Roman" w:eastAsia="宋体" w:cs="Times New Roman"/>
          <w:szCs w:val="28"/>
        </w:rPr>
        <w:t>级</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lang w:val="en-US" w:eastAsia="zh-CN"/>
        </w:rPr>
        <w:t>2023届</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lang w:val="en-US" w:eastAsia="zh-CN"/>
        </w:rPr>
        <w:t>市场营销</w:t>
      </w:r>
      <w:r>
        <w:rPr>
          <w:rFonts w:hint="default" w:ascii="Times New Roman" w:hAnsi="Times New Roman" w:eastAsia="宋体" w:cs="Times New Roman"/>
          <w:szCs w:val="28"/>
        </w:rPr>
        <w:t>专业毕业生开展了毕业要求达成度问卷调查，发放问卷</w:t>
      </w:r>
      <w:r>
        <w:rPr>
          <w:rFonts w:hint="default" w:ascii="Times New Roman" w:hAnsi="Times New Roman" w:eastAsia="宋体" w:cs="Times New Roman"/>
          <w:szCs w:val="28"/>
          <w:lang w:val="en-US" w:eastAsia="zh-CN"/>
        </w:rPr>
        <w:t>54</w:t>
      </w:r>
      <w:r>
        <w:rPr>
          <w:rFonts w:hint="default" w:ascii="Times New Roman" w:hAnsi="Times New Roman" w:eastAsia="宋体" w:cs="Times New Roman"/>
          <w:szCs w:val="28"/>
        </w:rPr>
        <w:t>份，收回</w:t>
      </w:r>
      <w:r>
        <w:rPr>
          <w:rFonts w:hint="default" w:ascii="Times New Roman" w:hAnsi="Times New Roman" w:eastAsia="宋体" w:cs="Times New Roman"/>
          <w:szCs w:val="28"/>
          <w:lang w:val="en-US" w:eastAsia="zh-CN"/>
        </w:rPr>
        <w:t>15</w:t>
      </w:r>
      <w:r>
        <w:rPr>
          <w:rFonts w:hint="default" w:ascii="Times New Roman" w:hAnsi="Times New Roman" w:eastAsia="宋体" w:cs="Times New Roman"/>
          <w:szCs w:val="28"/>
        </w:rPr>
        <w:t>份</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lang w:val="en-US" w:eastAsia="zh-CN"/>
        </w:rPr>
        <w:t>调查结果显示，</w:t>
      </w:r>
      <w:r>
        <w:rPr>
          <w:rFonts w:hint="default" w:ascii="Times New Roman" w:hAnsi="Times New Roman" w:eastAsia="宋体" w:cs="Times New Roman"/>
          <w:szCs w:val="28"/>
        </w:rPr>
        <w:t>201</w:t>
      </w:r>
      <w:r>
        <w:rPr>
          <w:rFonts w:hint="default" w:ascii="Times New Roman" w:hAnsi="Times New Roman" w:eastAsia="宋体" w:cs="Times New Roman"/>
          <w:szCs w:val="28"/>
          <w:lang w:val="en-US" w:eastAsia="zh-CN"/>
        </w:rPr>
        <w:t>9</w:t>
      </w:r>
      <w:r>
        <w:rPr>
          <w:rFonts w:hint="default" w:ascii="Times New Roman" w:hAnsi="Times New Roman" w:eastAsia="宋体" w:cs="Times New Roman"/>
          <w:szCs w:val="28"/>
        </w:rPr>
        <w:t>级</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lang w:val="en-US" w:eastAsia="zh-CN"/>
        </w:rPr>
        <w:t>2023届</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rPr>
        <w:t>毕业要求共</w:t>
      </w:r>
      <w:r>
        <w:rPr>
          <w:rFonts w:hint="default" w:ascii="Times New Roman" w:hAnsi="Times New Roman" w:eastAsia="宋体" w:cs="Times New Roman"/>
          <w:szCs w:val="28"/>
          <w:lang w:val="en-US" w:eastAsia="zh-CN"/>
        </w:rPr>
        <w:t>9项</w:t>
      </w:r>
      <w:r>
        <w:rPr>
          <w:rFonts w:hint="default" w:ascii="Times New Roman" w:hAnsi="Times New Roman" w:eastAsia="宋体" w:cs="Times New Roman"/>
          <w:szCs w:val="28"/>
        </w:rPr>
        <w:t>，针对每一</w:t>
      </w:r>
      <w:r>
        <w:rPr>
          <w:rFonts w:hint="default" w:ascii="Times New Roman" w:hAnsi="Times New Roman" w:eastAsia="宋体" w:cs="Times New Roman"/>
          <w:szCs w:val="28"/>
          <w:lang w:val="en-US" w:eastAsia="zh-CN"/>
        </w:rPr>
        <w:t>项</w:t>
      </w:r>
      <w:r>
        <w:rPr>
          <w:rFonts w:hint="default" w:ascii="Times New Roman" w:hAnsi="Times New Roman" w:eastAsia="宋体" w:cs="Times New Roman"/>
          <w:szCs w:val="28"/>
        </w:rPr>
        <w:t>毕业要求，定义5档并赋予分值，分别为完全达成（5分）、较好达成（4分）、达成（3分）、未达成（2分）和严重未达成（1分），最终根据选项的百分比计算得到达成度。</w:t>
      </w:r>
      <w:r>
        <w:rPr>
          <w:rFonts w:hint="default" w:ascii="Times New Roman" w:hAnsi="Times New Roman" w:eastAsia="宋体" w:cs="Times New Roman"/>
          <w:szCs w:val="28"/>
          <w:lang w:val="en-US" w:eastAsia="zh-CN"/>
        </w:rPr>
        <w:t>100%的毕业生认为其达成了毕业要求1、毕业要求7、毕业要求8和毕业要求9。93.33%的毕业生认为其达成了毕业要求3、毕业要求4和毕业要求6。86.67%的毕业生认为其达成了毕业要求2和毕业要求5。</w:t>
      </w:r>
    </w:p>
    <w:p>
      <w:pPr>
        <w:spacing w:line="360" w:lineRule="auto"/>
        <w:ind w:firstLine="480" w:firstLineChars="200"/>
        <w:jc w:val="both"/>
        <w:rPr>
          <w:rFonts w:hint="default" w:ascii="Times New Roman" w:hAnsi="Times New Roman" w:eastAsia="宋体" w:cs="Times New Roman"/>
          <w:szCs w:val="28"/>
        </w:rPr>
      </w:pPr>
      <w:r>
        <w:rPr>
          <w:rFonts w:hint="default" w:ascii="Times New Roman" w:hAnsi="Times New Roman" w:eastAsia="宋体" w:cs="Times New Roman"/>
          <w:szCs w:val="28"/>
        </w:rPr>
        <w:t>由表</w:t>
      </w:r>
      <w:r>
        <w:rPr>
          <w:rFonts w:hint="eastAsia" w:ascii="Times New Roman" w:hAnsi="Times New Roman" w:cs="Times New Roman"/>
          <w:szCs w:val="28"/>
          <w:lang w:val="en-US" w:eastAsia="zh-CN"/>
        </w:rPr>
        <w:t>2</w:t>
      </w:r>
      <w:r>
        <w:rPr>
          <w:rFonts w:hint="default" w:ascii="Times New Roman" w:hAnsi="Times New Roman" w:eastAsia="宋体" w:cs="Times New Roman"/>
          <w:szCs w:val="28"/>
        </w:rPr>
        <w:t>可</w:t>
      </w:r>
      <w:r>
        <w:rPr>
          <w:rFonts w:hint="default" w:ascii="Times New Roman" w:hAnsi="Times New Roman" w:eastAsia="宋体" w:cs="Times New Roman"/>
          <w:szCs w:val="28"/>
          <w:lang w:val="en-US" w:eastAsia="zh-CN"/>
        </w:rPr>
        <w:t>知</w:t>
      </w:r>
      <w:r>
        <w:rPr>
          <w:rFonts w:hint="default" w:ascii="Times New Roman" w:hAnsi="Times New Roman" w:eastAsia="宋体" w:cs="Times New Roman"/>
          <w:szCs w:val="28"/>
        </w:rPr>
        <w:t>，201</w:t>
      </w:r>
      <w:r>
        <w:rPr>
          <w:rFonts w:hint="default" w:ascii="Times New Roman" w:hAnsi="Times New Roman" w:eastAsia="宋体" w:cs="Times New Roman"/>
          <w:szCs w:val="28"/>
          <w:lang w:val="en-US" w:eastAsia="zh-CN"/>
        </w:rPr>
        <w:t>9</w:t>
      </w:r>
      <w:r>
        <w:rPr>
          <w:rFonts w:hint="default" w:ascii="Times New Roman" w:hAnsi="Times New Roman" w:eastAsia="宋体" w:cs="Times New Roman"/>
          <w:szCs w:val="28"/>
        </w:rPr>
        <w:t>级</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rPr>
        <w:t>20</w:t>
      </w:r>
      <w:r>
        <w:rPr>
          <w:rFonts w:hint="default" w:ascii="Times New Roman" w:hAnsi="Times New Roman" w:eastAsia="宋体" w:cs="Times New Roman"/>
          <w:szCs w:val="28"/>
          <w:lang w:val="en-US" w:eastAsia="zh-CN"/>
        </w:rPr>
        <w:t>23届</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rPr>
        <w:t>毕业生</w:t>
      </w:r>
      <w:r>
        <w:rPr>
          <w:rFonts w:hint="default" w:ascii="Times New Roman" w:hAnsi="Times New Roman" w:eastAsia="宋体" w:cs="Times New Roman"/>
          <w:szCs w:val="28"/>
          <w:lang w:val="en-US" w:eastAsia="zh-CN"/>
        </w:rPr>
        <w:t>总体</w:t>
      </w:r>
      <w:r>
        <w:rPr>
          <w:rFonts w:hint="default" w:ascii="Times New Roman" w:hAnsi="Times New Roman" w:eastAsia="宋体" w:cs="Times New Roman"/>
          <w:szCs w:val="28"/>
        </w:rPr>
        <w:t>表示其较好地达到了设定的毕业要求。其中，在</w:t>
      </w:r>
      <w:r>
        <w:rPr>
          <w:rFonts w:hint="default" w:ascii="Times New Roman" w:hAnsi="Times New Roman" w:eastAsia="宋体" w:cs="Times New Roman"/>
          <w:szCs w:val="28"/>
          <w:lang w:val="en-US" w:eastAsia="zh-CN"/>
        </w:rPr>
        <w:t>基本素养</w:t>
      </w:r>
      <w:r>
        <w:rPr>
          <w:rFonts w:hint="default" w:ascii="Times New Roman" w:hAnsi="Times New Roman" w:eastAsia="宋体" w:cs="Times New Roman"/>
          <w:szCs w:val="28"/>
        </w:rPr>
        <w:t>方面达成度较高（</w:t>
      </w:r>
      <w:r>
        <w:rPr>
          <w:rFonts w:hint="default" w:ascii="Times New Roman" w:hAnsi="Times New Roman" w:eastAsia="宋体" w:cs="Times New Roman"/>
          <w:szCs w:val="28"/>
          <w:lang w:val="en-US" w:eastAsia="zh-CN"/>
        </w:rPr>
        <w:t>达到</w:t>
      </w:r>
      <w:r>
        <w:rPr>
          <w:rFonts w:hint="default" w:ascii="Times New Roman" w:hAnsi="Times New Roman" w:eastAsia="宋体" w:cs="Times New Roman"/>
          <w:szCs w:val="28"/>
        </w:rPr>
        <w:t>4分），其次是信息技术能力</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rPr>
        <w:t>营销专业素养</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rPr>
        <w:t>沟通表达及解决问题能力</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rPr>
        <w:t>科学研究能力方面（</w:t>
      </w:r>
      <w:r>
        <w:rPr>
          <w:rFonts w:hint="default" w:ascii="Times New Roman" w:hAnsi="Times New Roman" w:eastAsia="宋体" w:cs="Times New Roman"/>
          <w:szCs w:val="28"/>
          <w:lang w:val="en-US" w:eastAsia="zh-CN"/>
        </w:rPr>
        <w:t>3.7</w:t>
      </w:r>
      <w:r>
        <w:rPr>
          <w:rFonts w:hint="default" w:ascii="Times New Roman" w:hAnsi="Times New Roman" w:eastAsia="宋体" w:cs="Times New Roman"/>
          <w:szCs w:val="28"/>
        </w:rPr>
        <w:t>-4分），</w:t>
      </w:r>
      <w:r>
        <w:rPr>
          <w:rFonts w:hint="default" w:ascii="Times New Roman" w:hAnsi="Times New Roman" w:eastAsia="宋体" w:cs="Times New Roman"/>
          <w:szCs w:val="28"/>
          <w:lang w:val="en-US" w:eastAsia="zh-CN"/>
        </w:rPr>
        <w:t>同上达成度较为接近的还有</w:t>
      </w:r>
      <w:r>
        <w:rPr>
          <w:rFonts w:hint="default" w:ascii="Times New Roman" w:hAnsi="Times New Roman" w:eastAsia="宋体" w:cs="Times New Roman"/>
          <w:szCs w:val="28"/>
        </w:rPr>
        <w:t>基础理论和知识</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rPr>
        <w:t>新工具运用能力</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rPr>
        <w:t>掌握语言技能</w:t>
      </w:r>
      <w:r>
        <w:rPr>
          <w:rFonts w:hint="default" w:ascii="Times New Roman" w:hAnsi="Times New Roman" w:eastAsia="宋体" w:cs="Times New Roman"/>
          <w:szCs w:val="28"/>
          <w:lang w:val="en-US" w:eastAsia="zh-CN"/>
        </w:rPr>
        <w:t>方面（3.67分），</w:t>
      </w:r>
      <w:r>
        <w:rPr>
          <w:rFonts w:hint="default" w:ascii="Times New Roman" w:hAnsi="Times New Roman" w:eastAsia="宋体" w:cs="Times New Roman"/>
          <w:szCs w:val="28"/>
        </w:rPr>
        <w:t>相对而言，在营销专业技能方面达成度略低</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lang w:val="en-US" w:eastAsia="zh-CN"/>
        </w:rPr>
        <w:t>3.6分以下</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rPr>
        <w:t>说明市场营销</w:t>
      </w:r>
      <w:r>
        <w:rPr>
          <w:rFonts w:hint="default" w:ascii="Times New Roman" w:hAnsi="Times New Roman" w:eastAsia="宋体" w:cs="Times New Roman"/>
          <w:szCs w:val="28"/>
          <w:lang w:val="en-US" w:eastAsia="zh-CN"/>
        </w:rPr>
        <w:t>专业</w:t>
      </w:r>
      <w:r>
        <w:rPr>
          <w:rFonts w:hint="default" w:ascii="Times New Roman" w:hAnsi="Times New Roman" w:eastAsia="宋体" w:cs="Times New Roman"/>
          <w:szCs w:val="28"/>
        </w:rPr>
        <w:t>人才培养质量较好，达到预期设定的目标，为培养目标的实现奠定基础。</w:t>
      </w:r>
    </w:p>
    <w:tbl>
      <w:tblPr>
        <w:tblStyle w:val="17"/>
        <w:tblW w:w="5000" w:type="pct"/>
        <w:jc w:val="center"/>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Layout w:type="autofit"/>
        <w:tblCellMar>
          <w:top w:w="0" w:type="dxa"/>
          <w:left w:w="108" w:type="dxa"/>
          <w:bottom w:w="0" w:type="dxa"/>
          <w:right w:w="108" w:type="dxa"/>
        </w:tblCellMar>
      </w:tblPr>
      <w:tblGrid>
        <w:gridCol w:w="7130"/>
        <w:gridCol w:w="1392"/>
      </w:tblGrid>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jc w:val="center"/>
        </w:trPr>
        <w:tc>
          <w:tcPr>
            <w:tcW w:w="8522" w:type="dxa"/>
            <w:gridSpan w:val="2"/>
            <w:tcBorders>
              <w:top w:val="nil"/>
              <w:left w:val="nil"/>
              <w:right w:val="nil"/>
            </w:tcBorders>
            <w:shd w:val="clear" w:color="auto" w:fill="auto"/>
            <w:vAlign w:val="center"/>
          </w:tcPr>
          <w:p>
            <w:pPr>
              <w:spacing w:line="240" w:lineRule="auto"/>
              <w:jc w:val="center"/>
              <w:rPr>
                <w:rFonts w:hint="default" w:ascii="Times New Roman" w:hAnsi="Times New Roman" w:cs="Times New Roman"/>
                <w:b/>
                <w:bCs/>
                <w:sz w:val="21"/>
                <w:szCs w:val="21"/>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2</w:t>
            </w:r>
            <w:r>
              <w:rPr>
                <w:rFonts w:hint="default" w:ascii="Times New Roman" w:hAnsi="Times New Roman" w:cs="Times New Roman"/>
                <w:b w:val="0"/>
                <w:bCs w:val="0"/>
                <w:sz w:val="21"/>
                <w:szCs w:val="21"/>
                <w:lang w:val="en-US" w:eastAsia="zh-CN"/>
              </w:rPr>
              <w:t xml:space="preserve"> 市场营销专业2019级（</w:t>
            </w:r>
            <w:r>
              <w:rPr>
                <w:rFonts w:hint="default" w:ascii="Times New Roman" w:hAnsi="Times New Roman" w:cs="Times New Roman"/>
                <w:b w:val="0"/>
                <w:bCs w:val="0"/>
                <w:sz w:val="21"/>
                <w:szCs w:val="21"/>
              </w:rPr>
              <w:t>20</w:t>
            </w:r>
            <w:r>
              <w:rPr>
                <w:rFonts w:hint="default" w:ascii="Times New Roman" w:hAnsi="Times New Roman" w:cs="Times New Roman"/>
                <w:b w:val="0"/>
                <w:bCs w:val="0"/>
                <w:sz w:val="21"/>
                <w:szCs w:val="21"/>
                <w:lang w:val="en-US" w:eastAsia="zh-CN"/>
              </w:rPr>
              <w:t>23届）</w:t>
            </w:r>
            <w:r>
              <w:rPr>
                <w:rFonts w:hint="default" w:ascii="Times New Roman" w:hAnsi="Times New Roman" w:cs="Times New Roman"/>
                <w:b w:val="0"/>
                <w:bCs w:val="0"/>
                <w:sz w:val="21"/>
                <w:szCs w:val="21"/>
              </w:rPr>
              <w:t>毕业生毕业要求达成情况</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jc w:val="center"/>
        </w:trPr>
        <w:tc>
          <w:tcPr>
            <w:tcW w:w="7130" w:type="dxa"/>
            <w:shd w:val="clear" w:color="auto" w:fill="auto"/>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毕业要求</w:t>
            </w:r>
          </w:p>
        </w:tc>
        <w:tc>
          <w:tcPr>
            <w:tcW w:w="1392" w:type="dxa"/>
            <w:shd w:val="clear" w:color="auto" w:fill="auto"/>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达成度</w:t>
            </w:r>
          </w:p>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（平均分）</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jc w:val="center"/>
        </w:trPr>
        <w:tc>
          <w:tcPr>
            <w:tcW w:w="7130" w:type="dxa"/>
            <w:shd w:val="clear" w:color="auto" w:fill="auto"/>
            <w:vAlign w:val="center"/>
          </w:tcPr>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毕业要求1：拥护党的领导和社会主义制度，热爱祖国，具有社会责任感；熟悉我国有关市场营销的方针、政策和法规，了解国际市场营销的惯例与规则</w:t>
            </w:r>
            <w:r>
              <w:rPr>
                <w:rFonts w:hint="default" w:ascii="Times New Roman" w:hAnsi="Times New Roman" w:eastAsia="宋体" w:cs="Times New Roman"/>
                <w:sz w:val="21"/>
                <w:szCs w:val="21"/>
                <w:lang w:val="en-US" w:eastAsia="zh-CN"/>
              </w:rPr>
              <w:t>。（基本素养）</w:t>
            </w:r>
          </w:p>
        </w:tc>
        <w:tc>
          <w:tcPr>
            <w:tcW w:w="1392" w:type="dxa"/>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jc w:val="center"/>
        </w:trPr>
        <w:tc>
          <w:tcPr>
            <w:tcW w:w="7130" w:type="dxa"/>
            <w:shd w:val="clear" w:color="auto" w:fill="auto"/>
            <w:vAlign w:val="center"/>
          </w:tcPr>
          <w:p>
            <w:pPr>
              <w:spacing w:line="240" w:lineRule="auto"/>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毕业要求</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：掌握市场营销的定性与定量分析方法，具有为企业推出新产品（或新品牌）、开拓新区域（行业）市场的营销方案进行策划的能力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营销专业技能</w:t>
            </w:r>
            <w:r>
              <w:rPr>
                <w:rFonts w:hint="default" w:ascii="Times New Roman" w:hAnsi="Times New Roman" w:eastAsia="宋体" w:cs="Times New Roman"/>
                <w:sz w:val="21"/>
                <w:szCs w:val="21"/>
                <w:lang w:eastAsia="zh-CN"/>
              </w:rPr>
              <w:t>）</w:t>
            </w:r>
          </w:p>
        </w:tc>
        <w:tc>
          <w:tcPr>
            <w:tcW w:w="1392" w:type="dxa"/>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3.53</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jc w:val="center"/>
        </w:trPr>
        <w:tc>
          <w:tcPr>
            <w:tcW w:w="7130" w:type="dxa"/>
            <w:shd w:val="clear" w:color="auto" w:fill="auto"/>
            <w:vAlign w:val="center"/>
          </w:tcPr>
          <w:p>
            <w:pPr>
              <w:spacing w:line="240" w:lineRule="auto"/>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毕业要求</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：掌握管理学、经济学和现代市场营销学的基本理论和基本知识</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基础理论和知识</w:t>
            </w:r>
            <w:r>
              <w:rPr>
                <w:rFonts w:hint="default" w:ascii="Times New Roman" w:hAnsi="Times New Roman" w:eastAsia="宋体" w:cs="Times New Roman"/>
                <w:sz w:val="21"/>
                <w:szCs w:val="21"/>
                <w:lang w:eastAsia="zh-CN"/>
              </w:rPr>
              <w:t>）</w:t>
            </w:r>
          </w:p>
        </w:tc>
        <w:tc>
          <w:tcPr>
            <w:tcW w:w="1392" w:type="dxa"/>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3.67</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jc w:val="center"/>
        </w:trPr>
        <w:tc>
          <w:tcPr>
            <w:tcW w:w="7130" w:type="dxa"/>
            <w:shd w:val="clear" w:color="auto" w:fill="auto"/>
            <w:vAlign w:val="center"/>
          </w:tcPr>
          <w:p>
            <w:pPr>
              <w:spacing w:line="240" w:lineRule="auto"/>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毕业要求</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：了解本学科的理论前沿和发展动态，应用互联网、大数据、新媒体等新型的营销技术、方法和手段开展市场营销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新工具运用能力</w:t>
            </w:r>
            <w:r>
              <w:rPr>
                <w:rFonts w:hint="default" w:ascii="Times New Roman" w:hAnsi="Times New Roman" w:eastAsia="宋体" w:cs="Times New Roman"/>
                <w:sz w:val="21"/>
                <w:szCs w:val="21"/>
                <w:lang w:eastAsia="zh-CN"/>
              </w:rPr>
              <w:t>）</w:t>
            </w:r>
          </w:p>
        </w:tc>
        <w:tc>
          <w:tcPr>
            <w:tcW w:w="1392" w:type="dxa"/>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3.67</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jc w:val="center"/>
        </w:trPr>
        <w:tc>
          <w:tcPr>
            <w:tcW w:w="7130" w:type="dxa"/>
            <w:shd w:val="clear" w:color="auto" w:fill="auto"/>
            <w:vAlign w:val="center"/>
          </w:tcPr>
          <w:p>
            <w:pPr>
              <w:spacing w:line="240" w:lineRule="auto"/>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毕业要求</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：较熟练地掌握一门外语，能比较顺利地阅读本专业外文文献，并具有听、说、写基础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掌握语言技能</w:t>
            </w:r>
            <w:r>
              <w:rPr>
                <w:rFonts w:hint="default" w:ascii="Times New Roman" w:hAnsi="Times New Roman" w:eastAsia="宋体" w:cs="Times New Roman"/>
                <w:sz w:val="21"/>
                <w:szCs w:val="21"/>
                <w:lang w:eastAsia="zh-CN"/>
              </w:rPr>
              <w:t>）</w:t>
            </w:r>
          </w:p>
        </w:tc>
        <w:tc>
          <w:tcPr>
            <w:tcW w:w="1392" w:type="dxa"/>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3.67</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jc w:val="center"/>
        </w:trPr>
        <w:tc>
          <w:tcPr>
            <w:tcW w:w="7130" w:type="dxa"/>
            <w:shd w:val="clear" w:color="auto" w:fill="auto"/>
            <w:vAlign w:val="center"/>
          </w:tcPr>
          <w:p>
            <w:pPr>
              <w:spacing w:line="240" w:lineRule="auto"/>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毕业要求</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：掌握计算机原理，能熟练使用办公自动化软件，并能对常用管理模型进行程序设计</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信息技术能力</w:t>
            </w:r>
            <w:r>
              <w:rPr>
                <w:rFonts w:hint="default" w:ascii="Times New Roman" w:hAnsi="Times New Roman" w:eastAsia="宋体" w:cs="Times New Roman"/>
                <w:sz w:val="21"/>
                <w:szCs w:val="21"/>
                <w:lang w:eastAsia="zh-CN"/>
              </w:rPr>
              <w:t>）</w:t>
            </w:r>
          </w:p>
        </w:tc>
        <w:tc>
          <w:tcPr>
            <w:tcW w:w="1392" w:type="dxa"/>
            <w:shd w:val="clear" w:color="auto" w:fill="auto"/>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3.73</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jc w:val="center"/>
        </w:trPr>
        <w:tc>
          <w:tcPr>
            <w:tcW w:w="7130" w:type="dxa"/>
            <w:shd w:val="clear" w:color="auto" w:fill="auto"/>
            <w:vAlign w:val="center"/>
          </w:tcPr>
          <w:p>
            <w:pPr>
              <w:spacing w:line="240" w:lineRule="auto"/>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毕业要求</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：修读人文科学、社会科学课程，参加社会实践和第二课堂的活动，具备营销基本素养；拥有健康向上的意志力和人格魅力；具备审美与文化素质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营销专业素养</w:t>
            </w:r>
            <w:r>
              <w:rPr>
                <w:rFonts w:hint="default" w:ascii="Times New Roman" w:hAnsi="Times New Roman" w:eastAsia="宋体" w:cs="Times New Roman"/>
                <w:sz w:val="21"/>
                <w:szCs w:val="21"/>
                <w:lang w:eastAsia="zh-CN"/>
              </w:rPr>
              <w:t>）</w:t>
            </w:r>
          </w:p>
        </w:tc>
        <w:tc>
          <w:tcPr>
            <w:tcW w:w="1392" w:type="dxa"/>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3.93</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jc w:val="center"/>
        </w:trPr>
        <w:tc>
          <w:tcPr>
            <w:tcW w:w="7130" w:type="dxa"/>
            <w:shd w:val="clear" w:color="auto" w:fill="auto"/>
            <w:vAlign w:val="center"/>
          </w:tcPr>
          <w:p>
            <w:pPr>
              <w:spacing w:line="240" w:lineRule="auto"/>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毕业要求</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：具备较强的语言与文字表达能力、人际沟通能力及分析和解决营销实际问题的基本能力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沟通表达及解决问题能力</w:t>
            </w:r>
            <w:r>
              <w:rPr>
                <w:rFonts w:hint="default" w:ascii="Times New Roman" w:hAnsi="Times New Roman" w:eastAsia="宋体" w:cs="Times New Roman"/>
                <w:sz w:val="21"/>
                <w:szCs w:val="21"/>
                <w:lang w:eastAsia="zh-CN"/>
              </w:rPr>
              <w:t>）</w:t>
            </w:r>
          </w:p>
        </w:tc>
        <w:tc>
          <w:tcPr>
            <w:tcW w:w="1392" w:type="dxa"/>
            <w:shd w:val="clear" w:color="auto" w:fill="auto"/>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3.93</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jc w:val="center"/>
        </w:trPr>
        <w:tc>
          <w:tcPr>
            <w:tcW w:w="7130" w:type="dxa"/>
            <w:shd w:val="clear" w:color="auto" w:fill="auto"/>
            <w:vAlign w:val="center"/>
          </w:tcPr>
          <w:p>
            <w:pPr>
              <w:spacing w:line="240" w:lineRule="auto"/>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毕业要求</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：掌握文献检索、资料查询的基本方法，具有一定科学研究和实际工作能力，具有一定的批判性思维能力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科学研究能力</w:t>
            </w:r>
            <w:r>
              <w:rPr>
                <w:rFonts w:hint="default" w:ascii="Times New Roman" w:hAnsi="Times New Roman" w:eastAsia="宋体" w:cs="Times New Roman"/>
                <w:sz w:val="21"/>
                <w:szCs w:val="21"/>
                <w:lang w:eastAsia="zh-CN"/>
              </w:rPr>
              <w:t>）</w:t>
            </w:r>
          </w:p>
        </w:tc>
        <w:tc>
          <w:tcPr>
            <w:tcW w:w="1392" w:type="dxa"/>
            <w:shd w:val="clear" w:color="auto" w:fill="auto"/>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3.87</w:t>
            </w:r>
          </w:p>
        </w:tc>
      </w:tr>
    </w:tbl>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[注]达成度计算可根据选项5档，分别赋5、4、3、2、1分，根据选项的百分比加权得到。</w:t>
      </w:r>
    </w:p>
    <w:p>
      <w:pPr>
        <w:rPr>
          <w:rFonts w:hint="default" w:ascii="Times New Roman" w:hAnsi="Times New Roman" w:eastAsia="宋体" w:cs="Times New Roman"/>
          <w:sz w:val="21"/>
          <w:szCs w:val="21"/>
        </w:rPr>
      </w:pPr>
    </w:p>
    <w:p>
      <w:pPr>
        <w:pStyle w:val="3"/>
        <w:pageBreakBefore/>
        <w:spacing w:after="120" w:line="415" w:lineRule="auto"/>
        <w:jc w:val="left"/>
        <w:rPr>
          <w:rFonts w:ascii="宋体" w:hAnsi="宋体"/>
          <w:sz w:val="28"/>
          <w:szCs w:val="28"/>
        </w:rPr>
      </w:pPr>
      <w:bookmarkStart w:id="15" w:name="_Toc14286"/>
      <w:r>
        <w:rPr>
          <w:rFonts w:hint="eastAsia" w:ascii="宋体" w:hAnsi="宋体" w:eastAsia="宋体" w:cs="Times New Roman"/>
          <w:b/>
          <w:bCs/>
          <w:kern w:val="2"/>
          <w:sz w:val="28"/>
          <w:szCs w:val="28"/>
          <w:lang w:val="en-US" w:eastAsia="zh-CN" w:bidi="ar-SA"/>
        </w:rPr>
        <w:t>3.培养情况</w:t>
      </w:r>
      <w:bookmarkEnd w:id="15"/>
      <w:r>
        <w:rPr>
          <w:rFonts w:hint="eastAsia" w:ascii="宋体" w:hAnsi="宋体" w:eastAsia="宋体" w:cs="Times New Roman"/>
          <w:b/>
          <w:bCs/>
          <w:kern w:val="2"/>
          <w:sz w:val="28"/>
          <w:szCs w:val="28"/>
          <w:lang w:val="en-US" w:eastAsia="zh-CN" w:bidi="ar-SA"/>
        </w:rPr>
        <w:t xml:space="preserve"> </w:t>
      </w:r>
    </w:p>
    <w:p>
      <w:pPr>
        <w:pStyle w:val="4"/>
        <w:rPr>
          <w:rFonts w:hint="eastAsia" w:ascii="宋体" w:hAnsi="宋体" w:eastAsia="宋体"/>
          <w:b/>
          <w:bCs/>
          <w:sz w:val="24"/>
          <w:szCs w:val="24"/>
        </w:rPr>
      </w:pPr>
      <w:bookmarkStart w:id="16" w:name="_Toc21072"/>
      <w:r>
        <w:rPr>
          <w:rFonts w:hint="eastAsia" w:ascii="宋体" w:hAnsi="宋体" w:eastAsia="宋体"/>
          <w:b/>
          <w:bCs/>
          <w:sz w:val="24"/>
          <w:szCs w:val="24"/>
        </w:rPr>
        <w:t>3.1专业建设情况</w:t>
      </w:r>
      <w:bookmarkEnd w:id="16"/>
    </w:p>
    <w:p>
      <w:pPr>
        <w:spacing w:line="360" w:lineRule="auto"/>
        <w:ind w:firstLine="480" w:firstLineChars="200"/>
        <w:jc w:val="both"/>
        <w:rPr>
          <w:rFonts w:hint="eastAsia" w:ascii="宋体" w:hAnsi="宋体" w:eastAsia="宋体" w:cs="宋体"/>
          <w:b w:val="0"/>
          <w:bCs w:val="0"/>
          <w:kern w:val="0"/>
          <w:sz w:val="24"/>
          <w:szCs w:val="28"/>
          <w:lang w:val="en-US" w:eastAsia="zh-CN" w:bidi="ar-SA"/>
        </w:rPr>
      </w:pPr>
      <w:bookmarkStart w:id="17" w:name="_Toc25634"/>
      <w:bookmarkStart w:id="18" w:name="_Toc3230"/>
      <w:bookmarkStart w:id="19" w:name="_Toc17697"/>
      <w:bookmarkStart w:id="20" w:name="_Toc8656"/>
      <w:r>
        <w:rPr>
          <w:rFonts w:hint="default" w:ascii="Times New Roman" w:hAnsi="Times New Roman" w:eastAsia="宋体" w:cs="Times New Roman"/>
          <w:b w:val="0"/>
          <w:bCs w:val="0"/>
          <w:kern w:val="0"/>
          <w:sz w:val="24"/>
          <w:szCs w:val="28"/>
          <w:lang w:val="en-US" w:eastAsia="zh-CN" w:bidi="ar-SA"/>
        </w:rPr>
        <w:t>（1）培养方案的修订、优化和落实</w:t>
      </w:r>
      <w:bookmarkEnd w:id="17"/>
      <w:bookmarkEnd w:id="18"/>
      <w:bookmarkEnd w:id="19"/>
      <w:bookmarkEnd w:id="20"/>
    </w:p>
    <w:p>
      <w:pPr>
        <w:spacing w:line="360" w:lineRule="auto"/>
        <w:ind w:firstLine="480" w:firstLineChars="200"/>
        <w:jc w:val="both"/>
        <w:rPr>
          <w:rFonts w:hint="eastAsia" w:ascii="宋体" w:hAnsi="宋体" w:eastAsia="宋体" w:cs="宋体"/>
          <w:szCs w:val="28"/>
        </w:rPr>
      </w:pPr>
      <w:r>
        <w:rPr>
          <w:szCs w:val="28"/>
        </w:rPr>
        <w:t>对标学校办学定位与</w:t>
      </w:r>
      <w:r>
        <w:rPr>
          <w:rFonts w:hint="eastAsia"/>
          <w:szCs w:val="28"/>
          <w:lang w:val="en-US" w:eastAsia="zh-CN"/>
        </w:rPr>
        <w:t>地区经济发展需求</w:t>
      </w:r>
      <w:r>
        <w:rPr>
          <w:szCs w:val="28"/>
        </w:rPr>
        <w:t>，按照OBE教育理念——成果导向、能力导向、目标导向，全面修订本科人才培养方案。根据学校定位与</w:t>
      </w:r>
      <w:r>
        <w:rPr>
          <w:rFonts w:hint="eastAsia"/>
          <w:szCs w:val="28"/>
          <w:lang w:val="en-US" w:eastAsia="zh-CN"/>
        </w:rPr>
        <w:t>人才</w:t>
      </w:r>
      <w:r>
        <w:rPr>
          <w:szCs w:val="28"/>
        </w:rPr>
        <w:t>目标，进一步总结、凝练专业培养目标、毕业要求，设置课程体系，力求课程体系、毕业要求、人才培育目标相互支撑，相互印证，形成</w:t>
      </w:r>
      <w:r>
        <w:rPr>
          <w:rFonts w:hint="eastAsia" w:ascii="宋体" w:hAnsi="宋体" w:eastAsia="宋体" w:cs="宋体"/>
          <w:szCs w:val="28"/>
        </w:rPr>
        <w:t>“毕业要求</w:t>
      </w:r>
      <w:r>
        <w:rPr>
          <w:rFonts w:hint="eastAsia" w:ascii="宋体" w:hAnsi="宋体" w:cs="宋体"/>
          <w:szCs w:val="28"/>
          <w:lang w:eastAsia="zh-CN"/>
        </w:rPr>
        <w:t>——</w:t>
      </w:r>
      <w:r>
        <w:rPr>
          <w:rFonts w:hint="eastAsia" w:ascii="宋体" w:hAnsi="宋体" w:eastAsia="宋体" w:cs="宋体"/>
          <w:szCs w:val="28"/>
        </w:rPr>
        <w:t>课程体系对应矩阵”及具有专业特色的“实践教学环节”，切实将</w:t>
      </w:r>
      <w:r>
        <w:rPr>
          <w:rFonts w:hint="eastAsia" w:ascii="宋体" w:hAnsi="宋体" w:cs="宋体"/>
          <w:szCs w:val="28"/>
          <w:lang w:val="en-US" w:eastAsia="zh-CN"/>
        </w:rPr>
        <w:t>地区经济发展需求、</w:t>
      </w:r>
      <w:r>
        <w:rPr>
          <w:rFonts w:hint="eastAsia" w:ascii="宋体" w:hAnsi="宋体" w:eastAsia="宋体" w:cs="宋体"/>
          <w:szCs w:val="28"/>
        </w:rPr>
        <w:t>学校办学定位、培养目标落实到本科人才培养的各个环节中。</w:t>
      </w:r>
    </w:p>
    <w:p>
      <w:pPr>
        <w:spacing w:line="360" w:lineRule="auto"/>
        <w:ind w:firstLine="480" w:firstLineChars="200"/>
        <w:jc w:val="both"/>
        <w:rPr>
          <w:rFonts w:hint="eastAsia" w:ascii="Times New Roman" w:hAnsi="Times New Roman" w:eastAsia="宋体" w:cs="Times New Roman"/>
          <w:b w:val="0"/>
          <w:bCs w:val="0"/>
          <w:kern w:val="0"/>
          <w:sz w:val="24"/>
          <w:szCs w:val="28"/>
          <w:lang w:val="en-US" w:eastAsia="zh-CN" w:bidi="ar-SA"/>
        </w:rPr>
      </w:pPr>
      <w:bookmarkStart w:id="21" w:name="_Toc22649"/>
      <w:bookmarkStart w:id="22" w:name="_Toc6295"/>
      <w:bookmarkStart w:id="23" w:name="_Toc692"/>
      <w:bookmarkStart w:id="24" w:name="_Toc23287"/>
      <w:r>
        <w:rPr>
          <w:rFonts w:hint="eastAsia" w:ascii="Times New Roman" w:hAnsi="Times New Roman" w:eastAsia="宋体" w:cs="Times New Roman"/>
          <w:b w:val="0"/>
          <w:bCs w:val="0"/>
          <w:kern w:val="0"/>
          <w:sz w:val="24"/>
          <w:szCs w:val="28"/>
          <w:lang w:val="en-US" w:eastAsia="zh-CN" w:bidi="ar-SA"/>
        </w:rPr>
        <w:t>（2）完善以学生为中心的人才培养体系</w:t>
      </w:r>
      <w:bookmarkEnd w:id="21"/>
      <w:bookmarkEnd w:id="22"/>
      <w:bookmarkEnd w:id="23"/>
      <w:bookmarkEnd w:id="24"/>
    </w:p>
    <w:p>
      <w:pPr>
        <w:spacing w:line="360" w:lineRule="auto"/>
        <w:ind w:firstLine="480" w:firstLineChars="200"/>
        <w:jc w:val="both"/>
        <w:rPr>
          <w:szCs w:val="28"/>
        </w:rPr>
      </w:pPr>
      <w:r>
        <w:rPr>
          <w:szCs w:val="28"/>
        </w:rPr>
        <w:t>以新文科</w:t>
      </w:r>
      <w:r>
        <w:rPr>
          <w:rFonts w:hint="eastAsia"/>
          <w:szCs w:val="28"/>
          <w:lang w:eastAsia="zh-CN"/>
        </w:rPr>
        <w:t>、</w:t>
      </w:r>
      <w:r>
        <w:rPr>
          <w:rFonts w:hint="eastAsia"/>
          <w:szCs w:val="28"/>
          <w:lang w:val="en-US" w:eastAsia="zh-CN"/>
        </w:rPr>
        <w:t>新商科</w:t>
      </w:r>
      <w:r>
        <w:rPr>
          <w:szCs w:val="28"/>
        </w:rPr>
        <w:t>建设为引领，依据学校</w:t>
      </w:r>
      <w:r>
        <w:rPr>
          <w:rFonts w:hint="eastAsia" w:ascii="宋体" w:hAnsi="宋体" w:eastAsia="宋体" w:cs="宋体"/>
          <w:szCs w:val="28"/>
        </w:rPr>
        <w:t>“建设现代化工程应用型特色大学”</w:t>
      </w:r>
      <w:r>
        <w:rPr>
          <w:szCs w:val="28"/>
        </w:rPr>
        <w:t>发展定位，促进</w:t>
      </w:r>
      <w:r>
        <w:rPr>
          <w:rFonts w:hint="eastAsia"/>
          <w:szCs w:val="28"/>
          <w:lang w:val="en-US" w:eastAsia="zh-CN"/>
        </w:rPr>
        <w:t>学科相互融合和促进</w:t>
      </w:r>
      <w:r>
        <w:rPr>
          <w:szCs w:val="28"/>
        </w:rPr>
        <w:t>，拓宽学生知识面和综合能力，特色方向增设了</w:t>
      </w:r>
      <w:r>
        <w:rPr>
          <w:rFonts w:hint="eastAsia"/>
          <w:szCs w:val="28"/>
          <w:lang w:val="en-US" w:eastAsia="zh-CN"/>
        </w:rPr>
        <w:t>数字经济学、大数据营销等</w:t>
      </w:r>
      <w:r>
        <w:rPr>
          <w:szCs w:val="28"/>
        </w:rPr>
        <w:t>专业选修课程</w:t>
      </w:r>
      <w:r>
        <w:rPr>
          <w:rFonts w:hint="eastAsia"/>
          <w:szCs w:val="28"/>
          <w:lang w:eastAsia="zh-CN"/>
        </w:rPr>
        <w:t>，</w:t>
      </w:r>
      <w:r>
        <w:rPr>
          <w:szCs w:val="28"/>
        </w:rPr>
        <w:t>不断以人才需求为导向，以创新为着力点，跨越学科界限，实现文理之间、文科内部充分交叉整合，培养具有创新精神、较强实践能力和工程教育背景的高素质应用型营销管理人才。</w:t>
      </w:r>
    </w:p>
    <w:p>
      <w:pPr>
        <w:spacing w:line="360" w:lineRule="auto"/>
        <w:ind w:firstLine="480" w:firstLineChars="200"/>
        <w:jc w:val="both"/>
        <w:rPr>
          <w:rFonts w:hint="eastAsia" w:ascii="Times New Roman" w:hAnsi="Times New Roman" w:eastAsia="宋体" w:cs="Times New Roman"/>
          <w:b w:val="0"/>
          <w:bCs w:val="0"/>
          <w:kern w:val="0"/>
          <w:sz w:val="24"/>
          <w:szCs w:val="28"/>
          <w:lang w:val="en-US" w:eastAsia="zh-CN" w:bidi="ar-SA"/>
        </w:rPr>
      </w:pPr>
      <w:bookmarkStart w:id="25" w:name="_Toc20725"/>
      <w:bookmarkStart w:id="26" w:name="_Toc26809"/>
      <w:bookmarkStart w:id="27" w:name="_Toc28829"/>
      <w:bookmarkStart w:id="28" w:name="_Toc12817"/>
      <w:r>
        <w:rPr>
          <w:rFonts w:hint="eastAsia" w:ascii="Times New Roman" w:hAnsi="Times New Roman" w:eastAsia="宋体" w:cs="Times New Roman"/>
          <w:b w:val="0"/>
          <w:bCs w:val="0"/>
          <w:kern w:val="0"/>
          <w:sz w:val="24"/>
          <w:szCs w:val="28"/>
          <w:lang w:val="en-US" w:eastAsia="zh-CN" w:bidi="ar-SA"/>
        </w:rPr>
        <w:t>（3）完善教学质量保障体系建设</w:t>
      </w:r>
      <w:bookmarkEnd w:id="25"/>
      <w:bookmarkEnd w:id="26"/>
      <w:bookmarkEnd w:id="27"/>
      <w:bookmarkEnd w:id="28"/>
    </w:p>
    <w:p>
      <w:pPr>
        <w:spacing w:line="360" w:lineRule="auto"/>
        <w:ind w:firstLine="480" w:firstLineChars="200"/>
        <w:jc w:val="both"/>
        <w:rPr>
          <w:szCs w:val="28"/>
        </w:rPr>
      </w:pPr>
      <w:r>
        <w:rPr>
          <w:szCs w:val="28"/>
        </w:rPr>
        <w:t>以专业负责人制度为抓手开展专业建设。参与制定《专业教学工作规范的实施细则》，明确专业负责人的职责，并将其作为实施教学全过程质量管理的标准。通过制定专业教学质量报告，进一步推动专业教学质量管理规范化、制度化建设，进一步完善对人才培养质量的监控反馈。将教学基本状态数据分析报告、本科教学质量报告等作为专业教学质量常态监控的重要手段，对市场营销专业教学状态与教学质量情况进行分析，充分利用教学质量监测信息，补短板、强弱项，不断改进教学管理，提高教学质量。</w:t>
      </w:r>
    </w:p>
    <w:p/>
    <w:p>
      <w:pPr>
        <w:pStyle w:val="4"/>
        <w:rPr>
          <w:rFonts w:hint="eastAsia" w:ascii="宋体" w:hAnsi="宋体" w:eastAsia="宋体"/>
          <w:b/>
          <w:bCs/>
          <w:sz w:val="24"/>
          <w:szCs w:val="24"/>
        </w:rPr>
      </w:pPr>
      <w:bookmarkStart w:id="29" w:name="_Toc11541"/>
      <w:r>
        <w:rPr>
          <w:rFonts w:hint="eastAsia" w:ascii="宋体" w:hAnsi="宋体" w:eastAsia="宋体"/>
          <w:b/>
          <w:bCs/>
          <w:sz w:val="24"/>
          <w:szCs w:val="24"/>
        </w:rPr>
        <w:t>3.2专业教学计划</w:t>
      </w:r>
      <w:bookmarkEnd w:id="29"/>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3.2.1专业教学计划情况</w:t>
      </w:r>
    </w:p>
    <w:p>
      <w:pPr>
        <w:spacing w:line="360" w:lineRule="auto"/>
        <w:ind w:firstLine="480" w:firstLineChars="200"/>
        <w:jc w:val="both"/>
        <w:rPr>
          <w:rFonts w:hint="default" w:ascii="Times New Roman" w:hAnsi="Times New Roman" w:cs="Times New Roman"/>
          <w:szCs w:val="28"/>
        </w:rPr>
      </w:pPr>
      <w:r>
        <w:rPr>
          <w:rFonts w:hint="default" w:ascii="Times New Roman" w:hAnsi="Times New Roman" w:cs="Times New Roman"/>
          <w:szCs w:val="28"/>
        </w:rPr>
        <w:t>专业教学计划项目学时共3480个，其中理论教学学时2058个，占比59.14%，实验教学学时1422个，占比40.86%；专业教学计划项目学分共158分，其中理论教学学分119.63分，占比75.72%，实验教学学分6.37分，占比4.03%，集中性实践教学环节学分28分，占比17.72%，课外科技活动学分4分，占比2.53%。</w:t>
      </w:r>
    </w:p>
    <w:p>
      <w:pPr>
        <w:jc w:val="center"/>
        <w:rPr>
          <w:rFonts w:hint="default"/>
          <w:lang w:val="en-US"/>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3</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教学计划</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9"/>
        <w:gridCol w:w="787"/>
        <w:gridCol w:w="2302"/>
        <w:gridCol w:w="813"/>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638"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111" w:beforeAutospacing="0" w:after="0" w:afterAutospacing="0"/>
              <w:jc w:val="center"/>
            </w:pPr>
            <w:r>
              <w:rPr>
                <w:rFonts w:hint="eastAsia"/>
                <w:sz w:val="21"/>
                <w:szCs w:val="22"/>
              </w:rPr>
              <w:t>项目</w:t>
            </w: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学时</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638"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数量</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占总学时比例（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数量</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占总学分比例（</w:t>
            </w:r>
            <w:r>
              <w:rPr>
                <w:rFonts w:ascii="Times New Roman" w:hAnsi="Noto Sans Mono CJK JP Regular" w:eastAsia="Times New Roman" w:cs="Noto Sans Mono CJK JP Regular"/>
                <w:b/>
                <w:sz w:val="21"/>
                <w:szCs w:val="22"/>
              </w:rPr>
              <w:t>%</w:t>
            </w:r>
            <w:r>
              <w:rPr>
                <w:rFonts w:hint="eastAsia"/>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8"/>
              <w:jc w:val="center"/>
            </w:pPr>
            <w:bookmarkStart w:id="30" w:name="OLE_LINK10"/>
            <w:r>
              <w:rPr>
                <w:rFonts w:hint="eastAsia"/>
                <w:sz w:val="21"/>
                <w:szCs w:val="22"/>
              </w:rPr>
              <w:t>理论教学</w:t>
            </w:r>
            <w:bookmarkEnd w:id="30"/>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2058</w:t>
            </w:r>
            <w:bookmarkStart w:id="31" w:name="OLE_LINK8"/>
            <w:bookmarkEnd w:id="31"/>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59.14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119.63</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75.72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实验教学</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1422</w:t>
            </w:r>
            <w:bookmarkStart w:id="32" w:name="OLE_LINK9"/>
            <w:bookmarkEnd w:id="32"/>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40.86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6.37</w:t>
            </w:r>
            <w:bookmarkStart w:id="33" w:name="OLE_LINK11"/>
            <w:bookmarkEnd w:id="33"/>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集中性实践教学环节</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28</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课外科技活动</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合计</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3480</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158</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r>
    </w:tbl>
    <w:p/>
    <w:p>
      <w:pPr>
        <w:rPr>
          <w:rFonts w:hint="default" w:ascii="Times New Roman" w:hAnsi="Times New Roman" w:cs="Times New Roman"/>
          <w:sz w:val="21"/>
          <w:szCs w:val="21"/>
        </w:rPr>
      </w:pPr>
      <w:r>
        <w:rPr>
          <w:rFonts w:hint="default" w:ascii="Times New Roman" w:hAnsi="Times New Roman" w:cs="Times New Roman"/>
          <w:sz w:val="21"/>
          <w:szCs w:val="21"/>
        </w:rPr>
        <w:t>※以上数据来源：表4-2专业培养计划表。</w:t>
      </w: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3.2.2</w:t>
      </w:r>
      <w:bookmarkStart w:id="34" w:name="OLE_LINK12"/>
      <w:r>
        <w:rPr>
          <w:rFonts w:ascii="宋体" w:hAnsi="宋体" w:eastAsia="宋体" w:cstheme="minorBidi"/>
          <w:b w:val="0"/>
          <w:bCs w:val="0"/>
          <w:kern w:val="2"/>
          <w:sz w:val="24"/>
          <w:szCs w:val="24"/>
        </w:rPr>
        <w:t>课程实施情况表</w:t>
      </w:r>
      <w:bookmarkEnd w:id="34"/>
    </w:p>
    <w:p>
      <w:pPr>
        <w:spacing w:line="360" w:lineRule="auto"/>
        <w:ind w:firstLine="480" w:firstLineChars="200"/>
        <w:jc w:val="both"/>
        <w:rPr>
          <w:rFonts w:hint="default" w:ascii="Times New Roman" w:hAnsi="Times New Roman" w:cs="Times New Roman"/>
          <w:szCs w:val="28"/>
        </w:rPr>
      </w:pPr>
      <w:r>
        <w:rPr>
          <w:rFonts w:hint="eastAsia" w:ascii="Times New Roman" w:hAnsi="Times New Roman" w:cs="Times New Roman"/>
          <w:szCs w:val="28"/>
        </w:rPr>
        <w:t>课程共</w:t>
      </w:r>
      <w:r>
        <w:rPr>
          <w:rFonts w:hint="default" w:ascii="Times New Roman" w:hAnsi="Times New Roman" w:cs="Times New Roman"/>
          <w:szCs w:val="28"/>
        </w:rPr>
        <w:t>6896</w:t>
      </w:r>
      <w:r>
        <w:rPr>
          <w:rFonts w:hint="eastAsia" w:ascii="Times New Roman" w:hAnsi="Times New Roman" w:cs="Times New Roman"/>
          <w:szCs w:val="28"/>
        </w:rPr>
        <w:t>学时</w:t>
      </w:r>
      <w:r>
        <w:rPr>
          <w:rFonts w:hint="default" w:ascii="Times New Roman" w:hAnsi="Times New Roman" w:cs="Times New Roman"/>
          <w:szCs w:val="28"/>
        </w:rPr>
        <w:t>，其中专业必修课3696学时，占比53.6%，专业选修课3200学时，占比46.4%；总学分共431分，其中专业必修课学分231分，占比53.6%，专业选修课学分200分，占比46.4%。</w:t>
      </w:r>
    </w:p>
    <w:p>
      <w:pPr>
        <w:jc w:val="center"/>
        <w:rPr>
          <w:rFonts w:hint="default"/>
          <w:lang w:val="en-US"/>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4</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课程实施情况</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1029"/>
        <w:gridCol w:w="1789"/>
        <w:gridCol w:w="1195"/>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111" w:beforeAutospacing="0" w:after="0" w:afterAutospacing="0"/>
              <w:jc w:val="center"/>
            </w:pPr>
            <w:r>
              <w:rPr>
                <w:rFonts w:hint="eastAsia"/>
                <w:sz w:val="21"/>
                <w:szCs w:val="22"/>
              </w:rPr>
              <w:t>项目</w:t>
            </w: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学时</w:t>
            </w:r>
          </w:p>
        </w:tc>
        <w:tc>
          <w:tcPr>
            <w:tcW w:w="2972"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数量</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占总开课学时比例（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数量</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占总开课学分比例（</w:t>
            </w:r>
            <w:r>
              <w:rPr>
                <w:rFonts w:ascii="Times New Roman" w:hAnsi="Noto Sans Mono CJK JP Regular" w:eastAsia="Times New Roman" w:cs="Noto Sans Mono CJK JP Regular"/>
                <w:b/>
                <w:sz w:val="21"/>
                <w:szCs w:val="22"/>
              </w:rPr>
              <w:t>%</w:t>
            </w:r>
            <w:r>
              <w:rPr>
                <w:rFonts w:hint="eastAsia"/>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bookmarkStart w:id="35" w:name="OLE_LINK13"/>
            <w:r>
              <w:rPr>
                <w:rFonts w:hint="eastAsia"/>
                <w:sz w:val="21"/>
                <w:szCs w:val="22"/>
              </w:rPr>
              <w:t>专业必修课</w:t>
            </w:r>
            <w:bookmarkEnd w:id="35"/>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3696</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53.6</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231</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专业选修课</w:t>
            </w: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3200</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46.4</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200</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46.4</w:t>
            </w:r>
          </w:p>
        </w:tc>
      </w:tr>
    </w:tbl>
    <w:p/>
    <w:p>
      <w:pPr>
        <w:rPr>
          <w:rFonts w:hint="default" w:ascii="Times New Roman" w:hAnsi="Times New Roman" w:cs="Times New Roman"/>
          <w:sz w:val="21"/>
          <w:szCs w:val="21"/>
        </w:rPr>
      </w:pPr>
      <w:r>
        <w:rPr>
          <w:rFonts w:hint="eastAsia" w:ascii="Times New Roman" w:hAnsi="Times New Roman" w:cs="Times New Roman"/>
          <w:sz w:val="21"/>
          <w:szCs w:val="21"/>
        </w:rPr>
        <w:t>※以上数据来源：表</w:t>
      </w:r>
      <w:r>
        <w:rPr>
          <w:rFonts w:hint="default" w:ascii="Times New Roman" w:hAnsi="Times New Roman" w:cs="Times New Roman"/>
          <w:sz w:val="21"/>
          <w:szCs w:val="21"/>
        </w:rPr>
        <w:t xml:space="preserve"> 5-1-1开课情况、表 5-1-2专业课教学实施情况。</w:t>
      </w:r>
    </w:p>
    <w:p>
      <w:pPr>
        <w:pStyle w:val="4"/>
        <w:rPr>
          <w:rFonts w:hint="eastAsia" w:ascii="宋体" w:hAnsi="宋体" w:eastAsia="宋体"/>
          <w:b/>
          <w:bCs/>
          <w:sz w:val="24"/>
          <w:szCs w:val="24"/>
        </w:rPr>
      </w:pPr>
      <w:bookmarkStart w:id="36" w:name="_Toc32600"/>
      <w:r>
        <w:rPr>
          <w:rFonts w:hint="eastAsia" w:ascii="宋体" w:hAnsi="宋体" w:eastAsia="宋体"/>
          <w:b/>
          <w:bCs/>
          <w:sz w:val="24"/>
          <w:szCs w:val="24"/>
        </w:rPr>
        <w:t>3.3专业课开设情况</w:t>
      </w:r>
      <w:bookmarkEnd w:id="36"/>
    </w:p>
    <w:p>
      <w:pPr>
        <w:spacing w:line="360" w:lineRule="auto"/>
        <w:ind w:firstLine="480" w:firstLineChars="200"/>
        <w:jc w:val="both"/>
        <w:rPr>
          <w:rFonts w:hint="eastAsia" w:ascii="Times New Roman" w:hAnsi="Times New Roman" w:cs="Times New Roman"/>
          <w:szCs w:val="28"/>
          <w:lang w:eastAsia="zh-CN"/>
        </w:rPr>
      </w:pPr>
      <w:r>
        <w:rPr>
          <w:rFonts w:hint="eastAsia" w:ascii="Times New Roman" w:hAnsi="Times New Roman" w:cs="Times New Roman"/>
          <w:szCs w:val="28"/>
        </w:rPr>
        <w:t>课程总门次数为192次，</w:t>
      </w:r>
      <w:r>
        <w:rPr>
          <w:rFonts w:hint="eastAsia" w:ascii="Times New Roman" w:hAnsi="Times New Roman" w:cs="Times New Roman"/>
          <w:szCs w:val="28"/>
          <w:lang w:val="en-US" w:eastAsia="zh-CN"/>
        </w:rPr>
        <w:t>共</w:t>
      </w:r>
      <w:r>
        <w:rPr>
          <w:rFonts w:hint="eastAsia" w:ascii="Times New Roman" w:hAnsi="Times New Roman" w:cs="Times New Roman"/>
          <w:szCs w:val="28"/>
        </w:rPr>
        <w:t>开设专业课49门</w:t>
      </w:r>
      <w:r>
        <w:rPr>
          <w:rFonts w:hint="eastAsia" w:ascii="Times New Roman" w:hAnsi="Times New Roman" w:cs="Times New Roman"/>
          <w:szCs w:val="28"/>
          <w:lang w:eastAsia="zh-CN"/>
        </w:rPr>
        <w:t>。</w:t>
      </w:r>
    </w:p>
    <w:p>
      <w:pPr>
        <w:jc w:val="center"/>
        <w:rPr>
          <w:rFonts w:hint="default"/>
          <w:lang w:val="en-US"/>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5</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课开设情况</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7"/>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项目</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课程门数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课程总门次数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rPr>
                <w:sz w:val="21"/>
                <w:szCs w:val="22"/>
              </w:rPr>
            </w:pPr>
            <w:r>
              <w:rPr>
                <w:rFonts w:hint="eastAsia"/>
                <w:sz w:val="21"/>
                <w:szCs w:val="22"/>
              </w:rPr>
              <w:t>开设全外语课程门次数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开设双语课程门次数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0</w:t>
            </w:r>
          </w:p>
        </w:tc>
      </w:tr>
    </w:tbl>
    <w:p/>
    <w:p>
      <w:pPr>
        <w:rPr>
          <w:rFonts w:hint="default" w:ascii="Times New Roman" w:hAnsi="Times New Roman" w:cs="Times New Roman"/>
          <w:sz w:val="21"/>
          <w:szCs w:val="21"/>
        </w:rPr>
      </w:pPr>
      <w:r>
        <w:rPr>
          <w:rFonts w:hint="eastAsia" w:ascii="Times New Roman" w:hAnsi="Times New Roman" w:cs="Times New Roman"/>
          <w:sz w:val="21"/>
          <w:szCs w:val="21"/>
        </w:rPr>
        <w:t>※以上数据来源：表</w:t>
      </w:r>
      <w:r>
        <w:rPr>
          <w:rFonts w:hint="default" w:ascii="Times New Roman" w:hAnsi="Times New Roman" w:cs="Times New Roman"/>
          <w:sz w:val="21"/>
          <w:szCs w:val="21"/>
        </w:rPr>
        <w:t xml:space="preserve"> 5-1-1开课情况、表 5-1-2专业课教学实施情况。</w:t>
      </w:r>
    </w:p>
    <w:p>
      <w:pPr>
        <w:pStyle w:val="4"/>
        <w:rPr>
          <w:rFonts w:hint="eastAsia" w:ascii="宋体" w:hAnsi="宋体" w:eastAsia="宋体"/>
          <w:b/>
          <w:bCs/>
          <w:sz w:val="24"/>
          <w:szCs w:val="24"/>
        </w:rPr>
      </w:pPr>
      <w:bookmarkStart w:id="37" w:name="_Toc31877"/>
      <w:r>
        <w:rPr>
          <w:rFonts w:hint="eastAsia" w:ascii="宋体" w:hAnsi="宋体" w:eastAsia="宋体"/>
          <w:b/>
          <w:bCs/>
          <w:sz w:val="24"/>
          <w:szCs w:val="24"/>
        </w:rPr>
        <w:t>3.4专业课课堂规模</w:t>
      </w:r>
      <w:bookmarkEnd w:id="37"/>
    </w:p>
    <w:p>
      <w:pPr>
        <w:spacing w:line="360" w:lineRule="auto"/>
        <w:ind w:firstLine="480" w:firstLineChars="200"/>
        <w:jc w:val="both"/>
        <w:rPr>
          <w:rFonts w:hint="eastAsia" w:ascii="Times New Roman" w:hAnsi="Times New Roman" w:cs="Times New Roman"/>
          <w:szCs w:val="28"/>
        </w:rPr>
      </w:pPr>
      <w:r>
        <w:rPr>
          <w:rFonts w:hint="eastAsia" w:ascii="Times New Roman" w:hAnsi="Times New Roman" w:cs="Times New Roman"/>
          <w:szCs w:val="28"/>
        </w:rPr>
        <w:t>专业课课堂的平均规模为68.51人，其中课堂规模在30人及以下的有19门，占比9.9%，课堂规模在31-60人的有70门，占比36.46%，课堂规模在61-90人的有65门，占比33.85%，课堂规模在90人及以上的有38门，占比19.79%。</w:t>
      </w:r>
    </w:p>
    <w:p>
      <w:pPr>
        <w:jc w:val="center"/>
        <w:rPr>
          <w:rFonts w:hint="default"/>
          <w:lang w:val="en-US"/>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6</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课课堂规模</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367"/>
        <w:gridCol w:w="1444"/>
        <w:gridCol w:w="1674"/>
        <w:gridCol w:w="167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Align w:val="center"/>
          </w:tcPr>
          <w:p>
            <w:pPr>
              <w:jc w:val="center"/>
              <w:rPr>
                <w:rFonts w:hint="default" w:ascii="Times New Roman" w:hAnsi="Times New Roman" w:cs="Times New Roman"/>
                <w:sz w:val="21"/>
                <w:szCs w:val="21"/>
              </w:rPr>
            </w:pPr>
          </w:p>
        </w:tc>
        <w:tc>
          <w:tcPr>
            <w:tcW w:w="802"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平均规模</w:t>
            </w:r>
          </w:p>
        </w:tc>
        <w:tc>
          <w:tcPr>
            <w:tcW w:w="847"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30人及以下</w:t>
            </w:r>
          </w:p>
        </w:tc>
        <w:tc>
          <w:tcPr>
            <w:tcW w:w="982"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31-60人</w:t>
            </w:r>
          </w:p>
        </w:tc>
        <w:tc>
          <w:tcPr>
            <w:tcW w:w="982"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61-90人</w:t>
            </w:r>
          </w:p>
        </w:tc>
        <w:tc>
          <w:tcPr>
            <w:tcW w:w="847"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c>
          <w:tcPr>
            <w:tcW w:w="802"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68.51</w:t>
            </w:r>
          </w:p>
        </w:tc>
        <w:tc>
          <w:tcPr>
            <w:tcW w:w="847"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19</w:t>
            </w:r>
            <w:bookmarkStart w:id="38" w:name="OLE_LINK14"/>
            <w:bookmarkEnd w:id="38"/>
          </w:p>
        </w:tc>
        <w:tc>
          <w:tcPr>
            <w:tcW w:w="982"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70</w:t>
            </w:r>
            <w:bookmarkStart w:id="39" w:name="OLE_LINK15"/>
            <w:bookmarkEnd w:id="39"/>
          </w:p>
        </w:tc>
        <w:tc>
          <w:tcPr>
            <w:tcW w:w="982"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65</w:t>
            </w:r>
          </w:p>
        </w:tc>
        <w:tc>
          <w:tcPr>
            <w:tcW w:w="847"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比例（%）</w:t>
            </w:r>
          </w:p>
        </w:tc>
        <w:tc>
          <w:tcPr>
            <w:tcW w:w="802"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847"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9.9</w:t>
            </w:r>
          </w:p>
        </w:tc>
        <w:tc>
          <w:tcPr>
            <w:tcW w:w="982"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36.46</w:t>
            </w:r>
            <w:bookmarkStart w:id="40" w:name="OLE_LINK16"/>
            <w:bookmarkEnd w:id="40"/>
          </w:p>
        </w:tc>
        <w:tc>
          <w:tcPr>
            <w:tcW w:w="982"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33.85</w:t>
            </w:r>
          </w:p>
        </w:tc>
        <w:tc>
          <w:tcPr>
            <w:tcW w:w="847" w:type="pc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19.79</w:t>
            </w:r>
            <w:bookmarkStart w:id="41" w:name="OLE_LINK17"/>
            <w:bookmarkEnd w:id="41"/>
          </w:p>
        </w:tc>
      </w:tr>
    </w:tbl>
    <w:p/>
    <w:p>
      <w:pPr>
        <w:rPr>
          <w:rFonts w:hint="default" w:ascii="Times New Roman" w:hAnsi="Times New Roman" w:cs="Times New Roman"/>
          <w:sz w:val="21"/>
          <w:szCs w:val="21"/>
        </w:rPr>
      </w:pPr>
      <w:r>
        <w:rPr>
          <w:rFonts w:hint="eastAsia" w:ascii="Times New Roman" w:hAnsi="Times New Roman" w:cs="Times New Roman"/>
          <w:sz w:val="21"/>
          <w:szCs w:val="21"/>
        </w:rPr>
        <w:t>※以上数据来源：表</w:t>
      </w:r>
      <w:r>
        <w:rPr>
          <w:rFonts w:hint="default" w:ascii="Times New Roman" w:hAnsi="Times New Roman" w:cs="Times New Roman"/>
          <w:sz w:val="21"/>
          <w:szCs w:val="21"/>
        </w:rPr>
        <w:t xml:space="preserve"> 5-1-1开课情况、表 5-1-2专业课教学实施情况。</w:t>
      </w:r>
    </w:p>
    <w:p>
      <w:pPr>
        <w:pStyle w:val="4"/>
        <w:rPr>
          <w:rFonts w:hint="eastAsia" w:ascii="宋体" w:hAnsi="宋体" w:eastAsia="宋体"/>
          <w:b/>
          <w:bCs/>
          <w:sz w:val="24"/>
          <w:szCs w:val="24"/>
        </w:rPr>
      </w:pPr>
      <w:bookmarkStart w:id="42" w:name="_Toc5643"/>
      <w:r>
        <w:rPr>
          <w:rFonts w:hint="eastAsia" w:ascii="宋体" w:hAnsi="宋体" w:eastAsia="宋体"/>
          <w:b/>
          <w:bCs/>
          <w:sz w:val="24"/>
          <w:szCs w:val="24"/>
        </w:rPr>
        <w:t>3.5专业的核心课程情况</w:t>
      </w:r>
      <w:bookmarkEnd w:id="42"/>
    </w:p>
    <w:p>
      <w:pPr>
        <w:spacing w:line="360" w:lineRule="auto"/>
        <w:ind w:firstLine="480" w:firstLineChars="200"/>
        <w:jc w:val="both"/>
        <w:rPr>
          <w:rFonts w:hint="eastAsia" w:ascii="Times New Roman" w:hAnsi="Times New Roman" w:cs="Times New Roman"/>
          <w:szCs w:val="28"/>
        </w:rPr>
      </w:pPr>
      <w:r>
        <w:rPr>
          <w:rFonts w:hint="eastAsia" w:ascii="Times New Roman" w:hAnsi="Times New Roman" w:cs="Times New Roman"/>
          <w:szCs w:val="28"/>
        </w:rPr>
        <w:t>专业核心课程包括创业学、管理学、人力资源管理、组织行为学、商务谈判、网络营销、市场营销学</w:t>
      </w:r>
      <w:r>
        <w:rPr>
          <w:rFonts w:hint="eastAsia" w:ascii="Times New Roman" w:hAnsi="Times New Roman" w:cs="Times New Roman"/>
          <w:szCs w:val="28"/>
          <w:lang w:val="en-US" w:eastAsia="zh-CN"/>
        </w:rPr>
        <w:t>等</w:t>
      </w:r>
      <w:r>
        <w:rPr>
          <w:rFonts w:hint="eastAsia" w:ascii="Times New Roman" w:hAnsi="Times New Roman" w:cs="Times New Roman"/>
          <w:szCs w:val="28"/>
        </w:rPr>
        <w:t>共计16门，课程性质均为理论课，学分均为2分，学时数均为32小时。</w:t>
      </w:r>
    </w:p>
    <w:p>
      <w:pPr>
        <w:jc w:val="center"/>
        <w:rPr>
          <w:rFonts w:hint="default"/>
          <w:lang w:val="en-US"/>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7</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核心课程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rPr>
            </w:pPr>
            <w:r>
              <w:rPr>
                <w:rFonts w:hint="default" w:ascii="Times New Roman" w:hAnsi="Times New Roman" w:cs="Times New Roman"/>
                <w:sz w:val="21"/>
                <w:szCs w:val="22"/>
              </w:rPr>
              <w:t>课程名称</w:t>
            </w:r>
          </w:p>
        </w:tc>
        <w:tc>
          <w:tcPr>
            <w:tcW w:w="1185" w:type="dxa"/>
            <w:vAlign w:val="center"/>
          </w:tcPr>
          <w:p>
            <w:pPr>
              <w:jc w:val="center"/>
              <w:rPr>
                <w:rFonts w:hint="default" w:ascii="Times New Roman" w:hAnsi="Times New Roman" w:cs="Times New Roman"/>
              </w:rPr>
            </w:pPr>
            <w:r>
              <w:rPr>
                <w:rFonts w:hint="default" w:ascii="Times New Roman" w:hAnsi="Times New Roman" w:cs="Times New Roman"/>
                <w:sz w:val="21"/>
                <w:szCs w:val="22"/>
              </w:rPr>
              <w:t>课程号</w:t>
            </w:r>
          </w:p>
        </w:tc>
        <w:tc>
          <w:tcPr>
            <w:tcW w:w="1185" w:type="dxa"/>
            <w:vAlign w:val="center"/>
          </w:tcPr>
          <w:p>
            <w:pPr>
              <w:jc w:val="center"/>
              <w:rPr>
                <w:rFonts w:hint="default" w:ascii="Times New Roman" w:hAnsi="Times New Roman" w:cs="Times New Roman"/>
              </w:rPr>
            </w:pPr>
            <w:r>
              <w:rPr>
                <w:rFonts w:hint="default" w:ascii="Times New Roman" w:hAnsi="Times New Roman" w:cs="Times New Roman"/>
                <w:sz w:val="21"/>
                <w:szCs w:val="22"/>
              </w:rPr>
              <w:t>课程性质</w:t>
            </w:r>
          </w:p>
        </w:tc>
        <w:tc>
          <w:tcPr>
            <w:tcW w:w="1185" w:type="dxa"/>
            <w:vAlign w:val="center"/>
          </w:tcPr>
          <w:p>
            <w:pPr>
              <w:jc w:val="center"/>
              <w:rPr>
                <w:rFonts w:hint="default" w:ascii="Times New Roman" w:hAnsi="Times New Roman" w:cs="Times New Roman"/>
              </w:rPr>
            </w:pPr>
            <w:r>
              <w:rPr>
                <w:rFonts w:hint="default" w:ascii="Times New Roman" w:hAnsi="Times New Roman" w:cs="Times New Roman"/>
                <w:sz w:val="21"/>
                <w:szCs w:val="22"/>
              </w:rPr>
              <w:t>课程类别</w:t>
            </w:r>
          </w:p>
        </w:tc>
        <w:tc>
          <w:tcPr>
            <w:tcW w:w="1185" w:type="dxa"/>
            <w:vAlign w:val="center"/>
          </w:tcPr>
          <w:p>
            <w:pPr>
              <w:jc w:val="center"/>
              <w:rPr>
                <w:rFonts w:hint="default" w:ascii="Times New Roman" w:hAnsi="Times New Roman" w:cs="Times New Roman"/>
              </w:rPr>
            </w:pPr>
            <w:r>
              <w:rPr>
                <w:rFonts w:hint="default" w:ascii="Times New Roman" w:hAnsi="Times New Roman" w:cs="Times New Roman"/>
                <w:sz w:val="21"/>
                <w:szCs w:val="22"/>
              </w:rPr>
              <w:t>学分数</w:t>
            </w:r>
          </w:p>
        </w:tc>
        <w:tc>
          <w:tcPr>
            <w:tcW w:w="1185" w:type="dxa"/>
            <w:vAlign w:val="center"/>
          </w:tcPr>
          <w:p>
            <w:pPr>
              <w:jc w:val="center"/>
              <w:rPr>
                <w:rFonts w:hint="default" w:ascii="Times New Roman" w:hAnsi="Times New Roman" w:cs="Times New Roman"/>
              </w:rPr>
            </w:pPr>
            <w:r>
              <w:rPr>
                <w:rFonts w:hint="default" w:ascii="Times New Roman" w:hAnsi="Times New Roman" w:cs="Times New Roman"/>
                <w:sz w:val="21"/>
                <w:szCs w:val="22"/>
              </w:rPr>
              <w:t>学时数</w:t>
            </w:r>
          </w:p>
        </w:tc>
        <w:tc>
          <w:tcPr>
            <w:tcW w:w="1186" w:type="dxa"/>
            <w:vAlign w:val="center"/>
          </w:tcPr>
          <w:p>
            <w:pPr>
              <w:jc w:val="center"/>
              <w:rPr>
                <w:rFonts w:hint="default" w:ascii="Times New Roman" w:hAnsi="Times New Roman" w:cs="Times New Roman"/>
              </w:rPr>
            </w:pPr>
            <w:r>
              <w:rPr>
                <w:rFonts w:hint="default" w:ascii="Times New Roman" w:hAnsi="Times New Roman" w:cs="Times New Roman"/>
                <w:sz w:val="21"/>
                <w:szCs w:val="22"/>
              </w:rPr>
              <w:t>平均课堂规模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创业学</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030008</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专业选修课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管理学</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030101</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专业必修课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人力资源管理</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030102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专业选修课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组织行为学</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030103</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专业选修课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商务谈判</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030104</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专业选修课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网络营销</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030122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专业必修课,专业选修课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市场营销学</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030127</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专业选修课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49.42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消费者行为学</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030128</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专业必修课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财务管理</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030268</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专业选修课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92.67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会计学</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030269</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专业必修课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公司治理</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030584</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专业选修课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电子商务</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030955</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专业选修课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国际市场营销学</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031603</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专业必修课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广告学</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033111</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专业必修课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销售管理</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033112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专业必修课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战略管理</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033903</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理论课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专业必修课</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w:t>
            </w:r>
          </w:p>
        </w:tc>
        <w:tc>
          <w:tcPr>
            <w:tcW w:w="118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32</w:t>
            </w:r>
          </w:p>
        </w:tc>
        <w:tc>
          <w:tcPr>
            <w:tcW w:w="1186"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65</w:t>
            </w:r>
          </w:p>
        </w:tc>
      </w:tr>
    </w:tbl>
    <w:p/>
    <w:p>
      <w:pPr>
        <w:rPr>
          <w:rFonts w:hint="default" w:ascii="Times New Roman" w:hAnsi="Times New Roman" w:cs="Times New Roman"/>
          <w:sz w:val="21"/>
          <w:szCs w:val="21"/>
        </w:rPr>
      </w:pPr>
      <w:r>
        <w:rPr>
          <w:rFonts w:hint="eastAsia" w:ascii="Times New Roman" w:hAnsi="Times New Roman" w:cs="Times New Roman"/>
          <w:sz w:val="21"/>
          <w:szCs w:val="21"/>
        </w:rPr>
        <w:t>※以上数据来源：表</w:t>
      </w:r>
      <w:r>
        <w:rPr>
          <w:rFonts w:hint="default" w:ascii="Times New Roman" w:hAnsi="Times New Roman" w:cs="Times New Roman"/>
          <w:sz w:val="21"/>
          <w:szCs w:val="21"/>
        </w:rPr>
        <w:t xml:space="preserve"> 5-1-1开课情况、表 5-1-2专业课教学实施情况。</w:t>
      </w:r>
    </w:p>
    <w:p>
      <w:pPr>
        <w:pStyle w:val="4"/>
        <w:rPr>
          <w:rFonts w:hint="eastAsia" w:ascii="宋体" w:hAnsi="宋体" w:eastAsia="宋体"/>
          <w:b/>
          <w:bCs/>
          <w:sz w:val="24"/>
          <w:szCs w:val="24"/>
        </w:rPr>
      </w:pPr>
      <w:bookmarkStart w:id="43" w:name="_Toc3972"/>
      <w:r>
        <w:rPr>
          <w:rFonts w:hint="eastAsia" w:ascii="宋体" w:hAnsi="宋体" w:eastAsia="宋体"/>
          <w:b/>
          <w:bCs/>
          <w:sz w:val="24"/>
          <w:szCs w:val="24"/>
        </w:rPr>
        <w:t>3.6实验教学情况</w:t>
      </w:r>
      <w:bookmarkEnd w:id="43"/>
    </w:p>
    <w:p>
      <w:pPr>
        <w:spacing w:line="360" w:lineRule="auto"/>
        <w:ind w:firstLine="480" w:firstLineChars="200"/>
        <w:jc w:val="both"/>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rPr>
        <w:t>本专业所有开设实验的课程均有完整的实验教学大纲。每学年均参</w:t>
      </w:r>
      <w:r>
        <w:rPr>
          <w:rFonts w:hint="default" w:ascii="Times New Roman" w:hAnsi="Times New Roman" w:eastAsia="宋体" w:cs="Times New Roman"/>
          <w:szCs w:val="28"/>
          <w:lang w:val="en-US" w:eastAsia="zh-CN"/>
        </w:rPr>
        <w:t>加</w:t>
      </w:r>
      <w:r>
        <w:rPr>
          <w:rFonts w:hint="default" w:ascii="Times New Roman" w:hAnsi="Times New Roman" w:eastAsia="宋体" w:cs="Times New Roman"/>
          <w:szCs w:val="28"/>
        </w:rPr>
        <w:t>学院统一组织的教学大纲修订。实验教学大纲、实验指导书等基本教学文件及学生实验报告等教学文档资料，以及指导教师的实习总结等教学文档资料</w:t>
      </w:r>
      <w:r>
        <w:rPr>
          <w:rFonts w:hint="default" w:ascii="Times New Roman" w:hAnsi="Times New Roman" w:eastAsia="宋体" w:cs="Times New Roman"/>
          <w:szCs w:val="28"/>
          <w:lang w:val="en-US" w:eastAsia="zh-CN"/>
        </w:rPr>
        <w:t>完整</w:t>
      </w:r>
      <w:r>
        <w:rPr>
          <w:rFonts w:hint="default" w:ascii="Times New Roman" w:hAnsi="Times New Roman" w:eastAsia="宋体" w:cs="Times New Roman"/>
          <w:szCs w:val="28"/>
        </w:rPr>
        <w:t>齐全。</w:t>
      </w:r>
      <w:r>
        <w:rPr>
          <w:rFonts w:hint="default" w:ascii="Times New Roman" w:hAnsi="Times New Roman" w:eastAsia="宋体" w:cs="Times New Roman"/>
          <w:szCs w:val="28"/>
          <w:lang w:val="en-US" w:eastAsia="zh-CN"/>
        </w:rPr>
        <w:t>实验教学学分6.37，占总学分的4.03%。</w:t>
      </w:r>
    </w:p>
    <w:p>
      <w:pPr>
        <w:spacing w:line="360" w:lineRule="auto"/>
        <w:jc w:val="center"/>
        <w:rPr>
          <w:rFonts w:hint="default" w:ascii="Times New Roman" w:hAnsi="Times New Roman" w:eastAsia="宋体" w:cs="Times New Roman"/>
          <w:szCs w:val="28"/>
          <w:lang w:val="en-US" w:eastAsia="zh-CN"/>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8</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实验教学</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实验教学学分</w:t>
            </w:r>
          </w:p>
        </w:tc>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6.37</w:t>
            </w:r>
            <w:bookmarkStart w:id="44" w:name="OLE_LINK18"/>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占总学分（％）</w:t>
            </w:r>
          </w:p>
        </w:tc>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学年内开设实验课门数</w:t>
            </w:r>
          </w:p>
        </w:tc>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实验课程平均课堂规模</w:t>
            </w:r>
          </w:p>
        </w:tc>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专业实验教学仪器设备值</w:t>
            </w:r>
          </w:p>
        </w:tc>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bl>
    <w:p/>
    <w:p>
      <w:pPr>
        <w:rPr>
          <w:rFonts w:hint="default" w:ascii="Times New Roman" w:hAnsi="Times New Roman" w:cs="Times New Roman"/>
          <w:sz w:val="21"/>
          <w:szCs w:val="21"/>
        </w:rPr>
      </w:pPr>
      <w:r>
        <w:rPr>
          <w:rFonts w:hint="eastAsia" w:ascii="Times New Roman" w:hAnsi="Times New Roman" w:cs="Times New Roman"/>
          <w:sz w:val="21"/>
          <w:szCs w:val="21"/>
        </w:rPr>
        <w:t>※以上数据来源：表</w:t>
      </w:r>
      <w:r>
        <w:rPr>
          <w:rFonts w:hint="default" w:ascii="Times New Roman" w:hAnsi="Times New Roman" w:cs="Times New Roman"/>
          <w:sz w:val="21"/>
          <w:szCs w:val="21"/>
        </w:rPr>
        <w:t xml:space="preserve"> 4-2专业培养计划表</w:t>
      </w:r>
      <w:r>
        <w:rPr>
          <w:rFonts w:hint="eastAsia" w:ascii="Times New Roman" w:hAnsi="Times New Roman" w:cs="Times New Roman"/>
          <w:sz w:val="21"/>
          <w:szCs w:val="21"/>
        </w:rPr>
        <w:t>、表</w:t>
      </w:r>
      <w:r>
        <w:rPr>
          <w:rFonts w:hint="default" w:ascii="Times New Roman" w:hAnsi="Times New Roman" w:cs="Times New Roman"/>
          <w:sz w:val="21"/>
          <w:szCs w:val="21"/>
        </w:rPr>
        <w:t xml:space="preserve"> 5-1-1开课情况、表 5-1-2专业课教学实施情况</w:t>
      </w:r>
      <w:r>
        <w:rPr>
          <w:rFonts w:hint="eastAsia" w:ascii="Times New Roman" w:hAnsi="Times New Roman" w:cs="Times New Roman"/>
          <w:sz w:val="21"/>
          <w:szCs w:val="21"/>
        </w:rPr>
        <w:t>、表</w:t>
      </w:r>
      <w:r>
        <w:rPr>
          <w:rFonts w:hint="default" w:ascii="Times New Roman" w:hAnsi="Times New Roman" w:cs="Times New Roman"/>
          <w:sz w:val="21"/>
          <w:szCs w:val="21"/>
        </w:rPr>
        <w:t xml:space="preserve"> 5-1-3分专业（大类）专业实验课情况</w:t>
      </w:r>
    </w:p>
    <w:p>
      <w:pPr>
        <w:pStyle w:val="4"/>
        <w:rPr>
          <w:rFonts w:hint="eastAsia" w:ascii="宋体" w:hAnsi="宋体" w:eastAsia="宋体"/>
          <w:b/>
          <w:bCs/>
          <w:sz w:val="24"/>
          <w:szCs w:val="24"/>
        </w:rPr>
      </w:pPr>
      <w:bookmarkStart w:id="45" w:name="_Toc9579"/>
      <w:r>
        <w:rPr>
          <w:rFonts w:hint="eastAsia" w:ascii="宋体" w:hAnsi="宋体" w:eastAsia="宋体"/>
          <w:b/>
          <w:bCs/>
          <w:sz w:val="24"/>
          <w:szCs w:val="24"/>
        </w:rPr>
        <w:t>3.7实践教学情况</w:t>
      </w:r>
      <w:bookmarkEnd w:id="45"/>
    </w:p>
    <w:p>
      <w:pPr>
        <w:spacing w:line="360" w:lineRule="auto"/>
        <w:ind w:firstLine="480" w:firstLineChars="200"/>
        <w:jc w:val="both"/>
        <w:rPr>
          <w:rFonts w:hint="default" w:ascii="Times New Roman" w:hAnsi="Times New Roman" w:eastAsia="宋体" w:cs="Times New Roman"/>
          <w:szCs w:val="28"/>
          <w:lang w:eastAsia="zh-CN"/>
        </w:rPr>
      </w:pPr>
      <w:r>
        <w:rPr>
          <w:rFonts w:hint="default" w:ascii="Times New Roman" w:hAnsi="Times New Roman" w:eastAsia="宋体" w:cs="Times New Roman"/>
          <w:szCs w:val="28"/>
        </w:rPr>
        <w:t>（1）专业实验实践教学总学时、总学分占比</w:t>
      </w:r>
      <w:r>
        <w:rPr>
          <w:rFonts w:hint="default" w:ascii="Times New Roman" w:hAnsi="Times New Roman" w:eastAsia="宋体" w:cs="Times New Roman"/>
          <w:szCs w:val="28"/>
          <w:lang w:val="en-US" w:eastAsia="zh-CN"/>
        </w:rPr>
        <w:t>状况</w:t>
      </w:r>
    </w:p>
    <w:p>
      <w:pPr>
        <w:spacing w:line="360" w:lineRule="auto"/>
        <w:ind w:firstLine="480" w:firstLineChars="200"/>
        <w:jc w:val="both"/>
        <w:rPr>
          <w:rFonts w:hint="default" w:ascii="Times New Roman" w:hAnsi="Times New Roman" w:eastAsia="宋体" w:cs="Times New Roman"/>
          <w:szCs w:val="28"/>
        </w:rPr>
      </w:pPr>
      <w:r>
        <w:rPr>
          <w:rFonts w:ascii="宋体" w:hAnsi="宋体" w:eastAsia="宋体" w:cs="宋体"/>
          <w:szCs w:val="28"/>
        </w:rPr>
        <w:t>实践教学体系将专业技能训练和实践能力培养有机结合，贯穿到学生培养的全过程，在精准对接产业发展和企业需求的基础上，实现多元化产教融合，注</w:t>
      </w:r>
      <w:r>
        <w:rPr>
          <w:rFonts w:hint="eastAsia" w:ascii="宋体" w:hAnsi="宋体" w:eastAsia="宋体" w:cs="宋体"/>
          <w:szCs w:val="28"/>
        </w:rPr>
        <w:t>重“知识运用、能力提升和人格塑造”互促共进</w:t>
      </w:r>
      <w:r>
        <w:rPr>
          <w:rFonts w:ascii="宋体" w:hAnsi="宋体" w:eastAsia="宋体" w:cs="宋体"/>
          <w:szCs w:val="28"/>
        </w:rPr>
        <w:t>。本专业实践教学体系包括公共基础类实践、学科基础类实践和校企产学合作</w:t>
      </w:r>
      <w:r>
        <w:rPr>
          <w:rFonts w:hint="default" w:ascii="Times New Roman" w:hAnsi="Times New Roman" w:eastAsia="宋体" w:cs="Times New Roman"/>
          <w:szCs w:val="28"/>
        </w:rPr>
        <w:t>实践3个课程组，涉及工程基础训练、市场营销综合实习、市场调研与市场预测实习、品牌运营和拓展实习、合作教育等多类实践课程</w:t>
      </w:r>
      <w:r>
        <w:rPr>
          <w:rFonts w:hint="eastAsia" w:ascii="Times New Roman" w:hAnsi="Times New Roman" w:eastAsia="宋体" w:cs="Times New Roman"/>
          <w:szCs w:val="28"/>
          <w:lang w:eastAsia="zh-CN"/>
        </w:rPr>
        <w:t>，</w:t>
      </w:r>
      <w:r>
        <w:rPr>
          <w:rFonts w:hint="eastAsia" w:ascii="Times New Roman" w:hAnsi="Times New Roman" w:eastAsia="宋体" w:cs="Times New Roman"/>
          <w:szCs w:val="28"/>
          <w:lang w:val="en-US" w:eastAsia="zh-CN"/>
        </w:rPr>
        <w:t>实践课程学分占比20%以上</w:t>
      </w:r>
      <w:r>
        <w:rPr>
          <w:rFonts w:hint="default" w:ascii="Times New Roman" w:hAnsi="Times New Roman" w:eastAsia="宋体" w:cs="Times New Roman"/>
          <w:szCs w:val="28"/>
        </w:rPr>
        <w:t>。实验课程开出率达100%。</w:t>
      </w:r>
    </w:p>
    <w:p>
      <w:pPr>
        <w:spacing w:line="360" w:lineRule="auto"/>
        <w:ind w:firstLine="480" w:firstLineChars="200"/>
        <w:jc w:val="both"/>
        <w:rPr>
          <w:rFonts w:hint="eastAsia" w:ascii="Times New Roman" w:hAnsi="Times New Roman" w:eastAsia="宋体" w:cs="Times New Roman"/>
          <w:szCs w:val="28"/>
          <w:lang w:eastAsia="zh-CN"/>
        </w:rPr>
      </w:pPr>
      <w:bookmarkStart w:id="46" w:name="_Toc18066"/>
      <w:r>
        <w:rPr>
          <w:rFonts w:hint="eastAsia" w:ascii="Times New Roman" w:hAnsi="Times New Roman" w:eastAsia="宋体" w:cs="Times New Roman"/>
          <w:szCs w:val="28"/>
        </w:rPr>
        <w:t>（</w:t>
      </w:r>
      <w:r>
        <w:rPr>
          <w:rFonts w:hint="eastAsia" w:ascii="Times New Roman" w:hAnsi="Times New Roman" w:eastAsia="宋体" w:cs="Times New Roman"/>
          <w:szCs w:val="28"/>
          <w:lang w:val="en-US" w:eastAsia="zh-CN"/>
        </w:rPr>
        <w:t>2</w:t>
      </w:r>
      <w:r>
        <w:rPr>
          <w:rFonts w:hint="eastAsia" w:ascii="Times New Roman" w:hAnsi="Times New Roman" w:eastAsia="宋体" w:cs="Times New Roman"/>
          <w:szCs w:val="28"/>
        </w:rPr>
        <w:t>）实践类课程建设和开设</w:t>
      </w:r>
      <w:bookmarkEnd w:id="46"/>
      <w:r>
        <w:rPr>
          <w:rFonts w:hint="eastAsia" w:ascii="Times New Roman" w:hAnsi="Times New Roman" w:eastAsia="宋体" w:cs="Times New Roman"/>
          <w:szCs w:val="28"/>
          <w:lang w:val="en-US" w:eastAsia="zh-CN"/>
        </w:rPr>
        <w:t>状况</w:t>
      </w:r>
    </w:p>
    <w:p>
      <w:pPr>
        <w:spacing w:line="360" w:lineRule="auto"/>
        <w:ind w:firstLine="480" w:firstLineChars="200"/>
        <w:jc w:val="both"/>
        <w:rPr>
          <w:rFonts w:ascii="宋体" w:hAnsi="宋体" w:eastAsia="宋体" w:cs="宋体"/>
          <w:szCs w:val="28"/>
        </w:rPr>
      </w:pPr>
      <w:r>
        <w:rPr>
          <w:rFonts w:hint="default" w:ascii="Times New Roman" w:hAnsi="Times New Roman" w:eastAsia="宋体" w:cs="Times New Roman"/>
          <w:szCs w:val="28"/>
        </w:rPr>
        <w:t>本专业实践教学体系中具有综合性、设计性的实验超过80%，课内实验开出率是大纲要求的100%。</w:t>
      </w:r>
      <w:r>
        <w:rPr>
          <w:rFonts w:hint="eastAsia" w:ascii="Times New Roman" w:hAnsi="Times New Roman" w:eastAsia="宋体" w:cs="Times New Roman"/>
          <w:szCs w:val="28"/>
        </w:rPr>
        <w:t>各类实习目的</w:t>
      </w:r>
      <w:r>
        <w:rPr>
          <w:rFonts w:hint="eastAsia" w:ascii="宋体" w:hAnsi="宋体" w:eastAsia="宋体" w:cs="宋体"/>
          <w:szCs w:val="28"/>
        </w:rPr>
        <w:t>明确，实习内容具体，对每届学生实习都要求有实习计划、实习大纲、实习指导书、实习报告、实习总结。</w:t>
      </w:r>
      <w:r>
        <w:rPr>
          <w:rFonts w:ascii="宋体" w:hAnsi="宋体" w:eastAsia="宋体" w:cs="宋体"/>
          <w:szCs w:val="28"/>
        </w:rPr>
        <w:t>建成校外</w:t>
      </w:r>
      <w:r>
        <w:rPr>
          <w:rFonts w:hint="eastAsia" w:ascii="宋体" w:hAnsi="宋体" w:eastAsia="宋体" w:cs="宋体"/>
          <w:szCs w:val="28"/>
          <w:lang w:val="en-US" w:eastAsia="zh-CN"/>
        </w:rPr>
        <w:t>长期合作</w:t>
      </w:r>
      <w:r>
        <w:rPr>
          <w:rFonts w:ascii="宋体" w:hAnsi="宋体" w:eastAsia="宋体" w:cs="宋体"/>
          <w:szCs w:val="28"/>
        </w:rPr>
        <w:t>的实习基地，确保</w:t>
      </w:r>
      <w:r>
        <w:rPr>
          <w:rFonts w:hint="eastAsia" w:ascii="宋体" w:hAnsi="宋体" w:eastAsia="宋体" w:cs="宋体"/>
          <w:szCs w:val="28"/>
          <w:lang w:val="en-US" w:eastAsia="zh-CN"/>
        </w:rPr>
        <w:t>满足</w:t>
      </w:r>
      <w:r>
        <w:rPr>
          <w:rFonts w:ascii="宋体" w:hAnsi="宋体" w:eastAsia="宋体" w:cs="宋体"/>
          <w:szCs w:val="28"/>
        </w:rPr>
        <w:t>学生专业实践与实习的需要。</w:t>
      </w:r>
      <w:r>
        <w:rPr>
          <w:rFonts w:hint="eastAsia" w:ascii="宋体" w:hAnsi="宋体" w:eastAsia="宋体" w:cs="宋体"/>
          <w:szCs w:val="28"/>
          <w:lang w:val="en-US" w:eastAsia="zh-CN"/>
        </w:rPr>
        <w:t>注重</w:t>
      </w:r>
      <w:r>
        <w:rPr>
          <w:rFonts w:hint="eastAsia" w:ascii="宋体" w:hAnsi="宋体" w:eastAsia="宋体" w:cs="宋体"/>
          <w:szCs w:val="28"/>
        </w:rPr>
        <w:t>加强对专业实习指导的过程管理，</w:t>
      </w:r>
      <w:r>
        <w:rPr>
          <w:rFonts w:ascii="宋体" w:hAnsi="宋体" w:eastAsia="宋体" w:cs="宋体"/>
          <w:szCs w:val="28"/>
        </w:rPr>
        <w:t>在见习、实习管理上，实行</w:t>
      </w:r>
      <w:r>
        <w:rPr>
          <w:rFonts w:hint="eastAsia" w:ascii="宋体" w:hAnsi="宋体" w:eastAsia="宋体" w:cs="宋体"/>
          <w:szCs w:val="28"/>
        </w:rPr>
        <w:t>“基地双重管理，实训双重指导”</w:t>
      </w:r>
      <w:r>
        <w:rPr>
          <w:rFonts w:ascii="宋体" w:hAnsi="宋体" w:eastAsia="宋体" w:cs="宋体"/>
          <w:szCs w:val="28"/>
        </w:rPr>
        <w:t>，</w:t>
      </w:r>
      <w:r>
        <w:rPr>
          <w:rFonts w:hint="eastAsia" w:ascii="宋体" w:hAnsi="宋体" w:eastAsia="宋体" w:cs="宋体"/>
          <w:szCs w:val="28"/>
        </w:rPr>
        <w:t>系室</w:t>
      </w:r>
      <w:r>
        <w:rPr>
          <w:rFonts w:ascii="宋体" w:hAnsi="宋体" w:eastAsia="宋体" w:cs="宋体"/>
          <w:szCs w:val="28"/>
        </w:rPr>
        <w:t>与学院共同管理学生，学院、实习单位双方各指定一名指导老师，保障实习见习工作按计划开展。</w:t>
      </w:r>
    </w:p>
    <w:p>
      <w:pPr>
        <w:spacing w:line="360" w:lineRule="auto"/>
        <w:ind w:firstLine="480" w:firstLineChars="200"/>
        <w:jc w:val="both"/>
        <w:rPr>
          <w:rFonts w:hint="default"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（3）毕业论文全流程管理状况</w:t>
      </w:r>
    </w:p>
    <w:p>
      <w:pPr>
        <w:spacing w:line="360" w:lineRule="auto"/>
        <w:ind w:firstLine="480" w:firstLineChars="200"/>
        <w:jc w:val="both"/>
        <w:rPr>
          <w:rFonts w:hint="default" w:ascii="Times New Roman" w:hAnsi="Times New Roman" w:eastAsia="宋体" w:cs="Times New Roman"/>
          <w:szCs w:val="28"/>
          <w:lang w:val="en-US"/>
        </w:rPr>
      </w:pPr>
      <w:r>
        <w:rPr>
          <w:rFonts w:hint="eastAsia" w:ascii="宋体" w:hAnsi="宋体" w:eastAsia="宋体" w:cs="宋体"/>
          <w:szCs w:val="28"/>
          <w:lang w:val="en-US" w:eastAsia="zh-CN"/>
        </w:rPr>
        <w:t>毕业论文选题</w:t>
      </w:r>
      <w:r>
        <w:rPr>
          <w:rFonts w:hint="eastAsia" w:ascii="宋体" w:hAnsi="宋体" w:eastAsia="宋体" w:cs="宋体"/>
          <w:szCs w:val="28"/>
        </w:rPr>
        <w:t>注重根据市场营销专业的应用</w:t>
      </w:r>
      <w:r>
        <w:rPr>
          <w:rFonts w:hint="eastAsia" w:ascii="宋体" w:hAnsi="宋体" w:eastAsia="宋体" w:cs="宋体"/>
          <w:szCs w:val="28"/>
          <w:lang w:val="en-US" w:eastAsia="zh-CN"/>
        </w:rPr>
        <w:t>性、实操性</w:t>
      </w:r>
      <w:r>
        <w:rPr>
          <w:rFonts w:hint="eastAsia" w:ascii="宋体" w:hAnsi="宋体" w:eastAsia="宋体" w:cs="宋体"/>
          <w:szCs w:val="28"/>
        </w:rPr>
        <w:t>特点，鼓励学生的</w:t>
      </w:r>
      <w:r>
        <w:rPr>
          <w:rFonts w:hint="eastAsia" w:ascii="宋体" w:hAnsi="宋体" w:eastAsia="宋体" w:cs="宋体"/>
          <w:szCs w:val="28"/>
          <w:lang w:val="en-US" w:eastAsia="zh-CN"/>
        </w:rPr>
        <w:t>论文</w:t>
      </w:r>
      <w:r>
        <w:rPr>
          <w:rFonts w:hint="eastAsia" w:ascii="宋体" w:hAnsi="宋体" w:eastAsia="宋体" w:cs="宋体"/>
          <w:szCs w:val="28"/>
        </w:rPr>
        <w:t>选</w:t>
      </w:r>
      <w:r>
        <w:rPr>
          <w:rFonts w:hint="eastAsia" w:ascii="Times New Roman" w:hAnsi="Times New Roman" w:eastAsia="宋体" w:cs="Times New Roman"/>
          <w:szCs w:val="28"/>
        </w:rPr>
        <w:t>题与自己实习的工作性质、大学生创新</w:t>
      </w:r>
      <w:r>
        <w:rPr>
          <w:rFonts w:hint="eastAsia" w:ascii="Times New Roman" w:hAnsi="Times New Roman" w:eastAsia="宋体" w:cs="Times New Roman"/>
          <w:szCs w:val="28"/>
          <w:lang w:val="en-US" w:eastAsia="zh-CN"/>
        </w:rPr>
        <w:t>创业</w:t>
      </w:r>
      <w:r>
        <w:rPr>
          <w:rFonts w:hint="eastAsia" w:ascii="Times New Roman" w:hAnsi="Times New Roman" w:eastAsia="宋体" w:cs="Times New Roman"/>
          <w:szCs w:val="28"/>
        </w:rPr>
        <w:t>项目、学院</w:t>
      </w:r>
      <w:r>
        <w:rPr>
          <w:rFonts w:hint="eastAsia" w:ascii="Times New Roman" w:hAnsi="Times New Roman" w:eastAsia="宋体" w:cs="Times New Roman"/>
          <w:szCs w:val="28"/>
          <w:lang w:val="en-US" w:eastAsia="zh-CN"/>
        </w:rPr>
        <w:t>教师</w:t>
      </w:r>
      <w:r>
        <w:rPr>
          <w:rFonts w:hint="eastAsia" w:ascii="Times New Roman" w:hAnsi="Times New Roman" w:eastAsia="宋体" w:cs="Times New Roman"/>
          <w:szCs w:val="28"/>
        </w:rPr>
        <w:t>科研等直接挂钩。毕业论文100%在实验、</w:t>
      </w:r>
      <w:r>
        <w:rPr>
          <w:rFonts w:hint="eastAsia" w:ascii="宋体" w:hAnsi="宋体" w:eastAsia="宋体" w:cs="宋体"/>
          <w:szCs w:val="28"/>
        </w:rPr>
        <w:t>实习、工程实践和社会实践中完成。同时，鼓励学生结合新经济新媒体形势、市场营销专业特色方向（服装营销、汽车营销）选择毕业论文主题，采用理论与实证相结合的模式对各种营销课题展开研究。</w:t>
      </w:r>
      <w:r>
        <w:rPr>
          <w:rFonts w:hint="eastAsia" w:ascii="宋体" w:hAnsi="宋体" w:eastAsia="宋体" w:cs="宋体"/>
          <w:szCs w:val="28"/>
          <w:lang w:val="en-US" w:eastAsia="zh-CN"/>
        </w:rPr>
        <w:t>在此基础上，专业所有论文题目由专业负责人审核</w:t>
      </w:r>
      <w:r>
        <w:rPr>
          <w:rFonts w:hint="eastAsia" w:ascii="Times New Roman" w:hAnsi="Times New Roman" w:eastAsia="宋体" w:cs="Times New Roman"/>
          <w:szCs w:val="28"/>
          <w:lang w:val="en-US" w:eastAsia="zh-CN"/>
        </w:rPr>
        <w:t>，再进行专业间互审。</w:t>
      </w:r>
      <w:r>
        <w:rPr>
          <w:rFonts w:hint="eastAsia" w:ascii="Times New Roman" w:hAnsi="Times New Roman" w:eastAsia="宋体" w:cs="Times New Roman"/>
          <w:szCs w:val="28"/>
        </w:rPr>
        <w:t>遵循学校要求，严格控制教师指导学生人数（教授上限8人，副教授6-7人，讲师4-5人）。</w:t>
      </w:r>
      <w:r>
        <w:rPr>
          <w:rFonts w:hint="eastAsia" w:ascii="Times New Roman" w:hAnsi="Times New Roman" w:eastAsia="宋体" w:cs="Times New Roman"/>
          <w:szCs w:val="28"/>
          <w:lang w:val="en-US" w:eastAsia="zh-CN"/>
        </w:rPr>
        <w:t>4月上旬学院和教务处定期开展对毕业论文的中期审查，5月底，</w:t>
      </w:r>
      <w:r>
        <w:rPr>
          <w:rFonts w:hint="eastAsia" w:ascii="Times New Roman" w:hAnsi="Times New Roman" w:eastAsia="宋体" w:cs="Times New Roman"/>
          <w:szCs w:val="28"/>
        </w:rPr>
        <w:t>组织本科论文检测</w:t>
      </w:r>
      <w:r>
        <w:rPr>
          <w:rFonts w:hint="eastAsia" w:ascii="Times New Roman" w:hAnsi="Times New Roman" w:eastAsia="宋体" w:cs="Times New Roman"/>
          <w:szCs w:val="28"/>
          <w:lang w:eastAsia="zh-CN"/>
        </w:rPr>
        <w:t>，</w:t>
      </w:r>
      <w:r>
        <w:rPr>
          <w:rFonts w:hint="eastAsia" w:ascii="Times New Roman" w:hAnsi="Times New Roman" w:eastAsia="宋体" w:cs="Times New Roman"/>
          <w:szCs w:val="28"/>
          <w:lang w:val="en-US" w:eastAsia="zh-CN"/>
        </w:rPr>
        <w:t>重复率不超过30%允许参加答辩，6月上旬，</w:t>
      </w:r>
      <w:r>
        <w:rPr>
          <w:rFonts w:hint="eastAsia" w:ascii="Times New Roman" w:hAnsi="Times New Roman" w:eastAsia="宋体" w:cs="Times New Roman"/>
          <w:szCs w:val="28"/>
        </w:rPr>
        <w:t>学院进行答辩预审，提交答辩日程安排表及缓答辩（取消答辩资格）统计表</w:t>
      </w:r>
      <w:r>
        <w:rPr>
          <w:rFonts w:hint="eastAsia" w:ascii="Times New Roman" w:hAnsi="Times New Roman" w:eastAsia="宋体" w:cs="Times New Roman"/>
          <w:szCs w:val="28"/>
          <w:lang w:eastAsia="zh-CN"/>
        </w:rPr>
        <w:t>，</w:t>
      </w:r>
      <w:r>
        <w:rPr>
          <w:rFonts w:hint="eastAsia" w:ascii="Times New Roman" w:hAnsi="Times New Roman" w:eastAsia="宋体" w:cs="Times New Roman"/>
          <w:szCs w:val="28"/>
          <w:lang w:val="en-US" w:eastAsia="zh-CN"/>
        </w:rPr>
        <w:t>而后开展毕业论文答辩工作，答辩过程严格、规范，</w:t>
      </w:r>
      <w:r>
        <w:rPr>
          <w:rFonts w:hint="eastAsia" w:ascii="Times New Roman" w:hAnsi="Times New Roman" w:eastAsia="宋体" w:cs="Times New Roman"/>
          <w:szCs w:val="28"/>
        </w:rPr>
        <w:t>学院完成网上提交毕业论文成绩，教务处组织召开优秀毕业论文汇报展示会</w:t>
      </w:r>
      <w:r>
        <w:rPr>
          <w:rFonts w:hint="eastAsia" w:ascii="Times New Roman" w:hAnsi="Times New Roman" w:eastAsia="宋体" w:cs="Times New Roman"/>
          <w:szCs w:val="28"/>
          <w:lang w:eastAsia="zh-CN"/>
        </w:rPr>
        <w:t>，</w:t>
      </w:r>
      <w:r>
        <w:rPr>
          <w:rFonts w:hint="eastAsia" w:ascii="Times New Roman" w:hAnsi="Times New Roman" w:eastAsia="宋体" w:cs="Times New Roman"/>
          <w:szCs w:val="28"/>
        </w:rPr>
        <w:t>学院完成毕业设计（论文）资料归档</w:t>
      </w:r>
      <w:r>
        <w:rPr>
          <w:rFonts w:hint="eastAsia" w:ascii="Times New Roman" w:hAnsi="Times New Roman" w:eastAsia="宋体" w:cs="Times New Roman"/>
          <w:szCs w:val="28"/>
          <w:lang w:eastAsia="zh-CN"/>
        </w:rPr>
        <w:t>。</w:t>
      </w:r>
    </w:p>
    <w:p>
      <w:pPr>
        <w:pStyle w:val="4"/>
        <w:rPr>
          <w:rFonts w:hint="eastAsia" w:ascii="宋体" w:hAnsi="宋体" w:eastAsia="宋体"/>
          <w:b/>
          <w:bCs/>
          <w:sz w:val="24"/>
          <w:szCs w:val="24"/>
        </w:rPr>
      </w:pPr>
      <w:bookmarkStart w:id="47" w:name="_Toc8051"/>
      <w:r>
        <w:rPr>
          <w:rFonts w:hint="eastAsia" w:ascii="宋体" w:hAnsi="宋体" w:eastAsia="宋体"/>
          <w:b/>
          <w:bCs/>
          <w:sz w:val="24"/>
          <w:szCs w:val="24"/>
        </w:rPr>
        <w:t>3.8创新创业教育</w:t>
      </w:r>
      <w:bookmarkEnd w:id="47"/>
    </w:p>
    <w:p>
      <w:pPr>
        <w:widowControl/>
        <w:adjustRightInd w:val="0"/>
        <w:snapToGrid w:val="0"/>
        <w:spacing w:line="400" w:lineRule="exact"/>
        <w:ind w:firstLine="475" w:firstLineChars="198"/>
        <w:rPr>
          <w:rFonts w:hint="eastAsia" w:ascii="Times New Roman" w:hAnsi="Times New Roman"/>
          <w:color w:val="333333"/>
          <w:kern w:val="0"/>
          <w:sz w:val="24"/>
          <w:highlight w:val="none"/>
        </w:rPr>
      </w:pPr>
      <w:r>
        <w:rPr>
          <w:rFonts w:hint="eastAsia" w:ascii="Times New Roman" w:hAnsi="Times New Roman"/>
          <w:color w:val="333333"/>
          <w:kern w:val="0"/>
          <w:sz w:val="24"/>
          <w:lang w:val="en-US" w:eastAsia="zh-CN"/>
        </w:rPr>
        <w:t>本</w:t>
      </w:r>
      <w:r>
        <w:rPr>
          <w:rFonts w:ascii="Times New Roman" w:hAnsi="Times New Roman"/>
          <w:color w:val="333333"/>
          <w:kern w:val="0"/>
          <w:sz w:val="24"/>
        </w:rPr>
        <w:t>专业</w:t>
      </w:r>
      <w:r>
        <w:rPr>
          <w:rFonts w:hint="eastAsia" w:ascii="Times New Roman" w:hAnsi="Times New Roman"/>
          <w:color w:val="333333"/>
          <w:kern w:val="0"/>
          <w:sz w:val="24"/>
          <w:lang w:val="en-US" w:eastAsia="zh-CN"/>
        </w:rPr>
        <w:t>2022-2023年度</w:t>
      </w:r>
      <w:r>
        <w:rPr>
          <w:rFonts w:ascii="Times New Roman" w:hAnsi="Times New Roman"/>
          <w:color w:val="333333"/>
          <w:kern w:val="0"/>
          <w:sz w:val="24"/>
        </w:rPr>
        <w:t>开设</w:t>
      </w:r>
      <w:r>
        <w:rPr>
          <w:rFonts w:ascii="Times New Roman" w:hAnsi="Times New Roman"/>
          <w:color w:val="333333"/>
          <w:kern w:val="0"/>
          <w:sz w:val="24"/>
          <w:highlight w:val="none"/>
        </w:rPr>
        <w:t>创新创业训练课程6门</w:t>
      </w:r>
      <w:r>
        <w:rPr>
          <w:rFonts w:hint="eastAsia" w:ascii="Times New Roman" w:hAnsi="Times New Roman"/>
          <w:color w:val="333333"/>
          <w:kern w:val="0"/>
          <w:sz w:val="24"/>
          <w:highlight w:val="none"/>
          <w:lang w:eastAsia="zh-CN"/>
        </w:rPr>
        <w:t>，</w:t>
      </w:r>
      <w:r>
        <w:rPr>
          <w:rFonts w:ascii="Times New Roman" w:hAnsi="Times New Roman"/>
          <w:color w:val="333333"/>
          <w:kern w:val="0"/>
          <w:sz w:val="24"/>
          <w:highlight w:val="none"/>
        </w:rPr>
        <w:t>指导学生参加创新</w:t>
      </w:r>
      <w:r>
        <w:rPr>
          <w:rFonts w:hint="eastAsia" w:ascii="Times New Roman" w:hAnsi="Times New Roman"/>
          <w:color w:val="333333"/>
          <w:kern w:val="0"/>
          <w:sz w:val="24"/>
          <w:highlight w:val="none"/>
          <w:lang w:val="en-US" w:eastAsia="zh-CN"/>
        </w:rPr>
        <w:t>创业</w:t>
      </w:r>
      <w:r>
        <w:rPr>
          <w:rFonts w:ascii="Times New Roman" w:hAnsi="Times New Roman"/>
          <w:color w:val="333333"/>
          <w:kern w:val="0"/>
          <w:sz w:val="24"/>
          <w:highlight w:val="none"/>
        </w:rPr>
        <w:t>项目</w:t>
      </w:r>
      <w:r>
        <w:rPr>
          <w:rFonts w:hint="eastAsia" w:ascii="Times New Roman" w:hAnsi="Times New Roman"/>
          <w:color w:val="333333"/>
          <w:kern w:val="0"/>
          <w:sz w:val="24"/>
          <w:highlight w:val="none"/>
          <w:lang w:val="en-US" w:eastAsia="zh-CN"/>
        </w:rPr>
        <w:t>6</w:t>
      </w:r>
      <w:r>
        <w:rPr>
          <w:rFonts w:ascii="Times New Roman" w:hAnsi="Times New Roman"/>
          <w:color w:val="333333"/>
          <w:kern w:val="0"/>
          <w:sz w:val="24"/>
          <w:highlight w:val="none"/>
        </w:rPr>
        <w:t>项，</w:t>
      </w:r>
      <w:r>
        <w:rPr>
          <w:rFonts w:hint="eastAsia" w:ascii="Times New Roman" w:hAnsi="Times New Roman"/>
          <w:color w:val="333333"/>
          <w:kern w:val="0"/>
          <w:sz w:val="24"/>
          <w:highlight w:val="none"/>
          <w:lang w:val="en-US" w:eastAsia="zh-CN"/>
        </w:rPr>
        <w:t>指导学生参加各类学科竞赛获奖5项。</w:t>
      </w:r>
    </w:p>
    <w:p>
      <w:pPr>
        <w:spacing w:line="360" w:lineRule="auto"/>
        <w:jc w:val="center"/>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表</w:t>
      </w:r>
      <w:r>
        <w:rPr>
          <w:rFonts w:hint="eastAsia" w:ascii="Times New Roman" w:hAnsi="Times New Roman" w:eastAsia="宋体" w:cs="Times New Roman"/>
          <w:b w:val="0"/>
          <w:bCs w:val="0"/>
          <w:sz w:val="21"/>
          <w:szCs w:val="21"/>
          <w:lang w:val="en-US" w:eastAsia="zh-CN"/>
        </w:rPr>
        <w:t>9</w:t>
      </w:r>
      <w:r>
        <w:rPr>
          <w:rFonts w:hint="eastAsia" w:ascii="Times New Roman" w:hAnsi="Times New Roman" w:eastAsia="宋体" w:cs="Times New Roman"/>
          <w:b w:val="0"/>
          <w:bCs w:val="0"/>
          <w:sz w:val="21"/>
          <w:szCs w:val="21"/>
        </w:rPr>
        <w:t xml:space="preserve"> 创新创业训练课程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9"/>
        <w:gridCol w:w="2779"/>
        <w:gridCol w:w="277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38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序号</w:t>
            </w:r>
          </w:p>
        </w:tc>
        <w:tc>
          <w:tcPr>
            <w:tcW w:w="27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课程名称</w:t>
            </w:r>
          </w:p>
        </w:tc>
        <w:tc>
          <w:tcPr>
            <w:tcW w:w="27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开课教师</w:t>
            </w:r>
          </w:p>
        </w:tc>
        <w:tc>
          <w:tcPr>
            <w:tcW w:w="138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3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77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创业学</w:t>
            </w:r>
          </w:p>
        </w:tc>
        <w:tc>
          <w:tcPr>
            <w:tcW w:w="277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刘尊礼、朱強</w:t>
            </w:r>
          </w:p>
        </w:tc>
        <w:tc>
          <w:tcPr>
            <w:tcW w:w="13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3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77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互联网与创业</w:t>
            </w:r>
          </w:p>
        </w:tc>
        <w:tc>
          <w:tcPr>
            <w:tcW w:w="277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邵明</w:t>
            </w:r>
          </w:p>
        </w:tc>
        <w:tc>
          <w:tcPr>
            <w:tcW w:w="13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3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277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大学生创业基础</w:t>
            </w:r>
          </w:p>
        </w:tc>
        <w:tc>
          <w:tcPr>
            <w:tcW w:w="277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朱強</w:t>
            </w:r>
          </w:p>
        </w:tc>
        <w:tc>
          <w:tcPr>
            <w:tcW w:w="13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3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277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中小企业论</w:t>
            </w:r>
          </w:p>
        </w:tc>
        <w:tc>
          <w:tcPr>
            <w:tcW w:w="277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邵明</w:t>
            </w:r>
          </w:p>
        </w:tc>
        <w:tc>
          <w:tcPr>
            <w:tcW w:w="13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389" w:type="dxa"/>
            <w:tcBorders>
              <w:bottom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2779" w:type="dxa"/>
            <w:tcBorders>
              <w:bottom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创新管理</w:t>
            </w:r>
          </w:p>
        </w:tc>
        <w:tc>
          <w:tcPr>
            <w:tcW w:w="2779" w:type="dxa"/>
            <w:tcBorders>
              <w:bottom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刘尊礼</w:t>
            </w:r>
          </w:p>
        </w:tc>
        <w:tc>
          <w:tcPr>
            <w:tcW w:w="1389" w:type="dxa"/>
            <w:tcBorders>
              <w:bottom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389" w:type="dxa"/>
            <w:tcBorders>
              <w:bottom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2779" w:type="dxa"/>
            <w:tcBorders>
              <w:bottom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平台经济</w:t>
            </w:r>
          </w:p>
        </w:tc>
        <w:tc>
          <w:tcPr>
            <w:tcW w:w="2779" w:type="dxa"/>
            <w:tcBorders>
              <w:bottom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王静 刘尊礼</w:t>
            </w:r>
          </w:p>
        </w:tc>
        <w:tc>
          <w:tcPr>
            <w:tcW w:w="1389" w:type="dxa"/>
            <w:tcBorders>
              <w:bottom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32</w:t>
            </w:r>
          </w:p>
        </w:tc>
      </w:tr>
    </w:tbl>
    <w:p>
      <w:pPr>
        <w:adjustRightInd w:val="0"/>
        <w:snapToGrid w:val="0"/>
        <w:spacing w:line="400" w:lineRule="exact"/>
        <w:ind w:firstLine="415" w:firstLineChars="198"/>
        <w:jc w:val="center"/>
        <w:rPr>
          <w:rFonts w:hint="eastAsia" w:ascii="Times New Roman" w:hAnsi="Times New Roman" w:eastAsia="宋体" w:cs="Times New Roman"/>
          <w:b w:val="0"/>
          <w:bCs w:val="0"/>
          <w:sz w:val="21"/>
          <w:szCs w:val="21"/>
        </w:rPr>
      </w:pPr>
      <w:bookmarkStart w:id="48" w:name="_Hlk103242696"/>
    </w:p>
    <w:p>
      <w:pPr>
        <w:adjustRightInd w:val="0"/>
        <w:snapToGrid w:val="0"/>
        <w:spacing w:line="400" w:lineRule="exact"/>
        <w:ind w:firstLine="415" w:firstLineChars="198"/>
        <w:jc w:val="center"/>
        <w:rPr>
          <w:rFonts w:hint="eastAsia" w:ascii="Times New Roman" w:hAnsi="Times New Roman"/>
          <w:b/>
          <w:bCs/>
          <w:kern w:val="0"/>
          <w:sz w:val="24"/>
        </w:rPr>
      </w:pPr>
      <w:r>
        <w:rPr>
          <w:rFonts w:hint="eastAsia" w:ascii="Times New Roman" w:hAnsi="Times New Roman" w:eastAsia="宋体" w:cs="Times New Roman"/>
          <w:b w:val="0"/>
          <w:bCs w:val="0"/>
          <w:sz w:val="21"/>
          <w:szCs w:val="21"/>
        </w:rPr>
        <w:t>表1</w:t>
      </w:r>
      <w:r>
        <w:rPr>
          <w:rFonts w:hint="eastAsia" w:ascii="Times New Roman" w:hAnsi="Times New Roman" w:eastAsia="宋体" w:cs="Times New Roman"/>
          <w:b w:val="0"/>
          <w:bCs w:val="0"/>
          <w:sz w:val="21"/>
          <w:szCs w:val="21"/>
          <w:lang w:val="en-US" w:eastAsia="zh-CN"/>
        </w:rPr>
        <w:t>0</w:t>
      </w:r>
      <w:r>
        <w:rPr>
          <w:rFonts w:hint="eastAsia" w:ascii="Times New Roman" w:hAnsi="Times New Roman" w:eastAsia="宋体" w:cs="Times New Roman"/>
          <w:b w:val="0"/>
          <w:bCs w:val="0"/>
          <w:sz w:val="21"/>
          <w:szCs w:val="21"/>
        </w:rPr>
        <w:t xml:space="preserve"> 指导创新</w:t>
      </w:r>
      <w:r>
        <w:rPr>
          <w:rFonts w:hint="eastAsia" w:ascii="Times New Roman" w:hAnsi="Times New Roman" w:eastAsia="宋体" w:cs="Times New Roman"/>
          <w:b w:val="0"/>
          <w:bCs w:val="0"/>
          <w:sz w:val="21"/>
          <w:szCs w:val="21"/>
          <w:lang w:val="en-US" w:eastAsia="zh-CN"/>
        </w:rPr>
        <w:t>创业</w:t>
      </w:r>
      <w:r>
        <w:rPr>
          <w:rFonts w:hint="eastAsia" w:ascii="Times New Roman" w:hAnsi="Times New Roman" w:eastAsia="宋体" w:cs="Times New Roman"/>
          <w:b w:val="0"/>
          <w:bCs w:val="0"/>
          <w:sz w:val="21"/>
          <w:szCs w:val="21"/>
        </w:rPr>
        <w:t>项目</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4349"/>
        <w:gridCol w:w="1087"/>
        <w:gridCol w:w="1147"/>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415" w:type="pct"/>
            <w:shd w:val="clear" w:color="auto" w:fill="auto"/>
            <w:tcMar>
              <w:top w:w="15" w:type="dxa"/>
              <w:left w:w="15" w:type="dxa"/>
              <w:right w:w="15" w:type="dxa"/>
            </w:tcMar>
            <w:vAlign w:val="center"/>
          </w:tcPr>
          <w:p>
            <w:pPr>
              <w:widowControl/>
              <w:jc w:val="center"/>
              <w:textAlignment w:val="center"/>
              <w:rPr>
                <w:rFonts w:ascii="Times New Roman" w:hAnsi="Times New Roman"/>
                <w:b w:val="0"/>
                <w:bCs w:val="0"/>
                <w:color w:val="auto"/>
                <w:sz w:val="21"/>
                <w:szCs w:val="21"/>
              </w:rPr>
            </w:pPr>
            <w:r>
              <w:rPr>
                <w:rFonts w:ascii="Times New Roman" w:hAnsi="Times New Roman"/>
                <w:b w:val="0"/>
                <w:bCs w:val="0"/>
                <w:color w:val="auto"/>
                <w:sz w:val="21"/>
                <w:szCs w:val="21"/>
              </w:rPr>
              <w:t>序号</w:t>
            </w:r>
          </w:p>
        </w:tc>
        <w:tc>
          <w:tcPr>
            <w:tcW w:w="2609" w:type="pct"/>
            <w:shd w:val="clear" w:color="auto" w:fill="auto"/>
            <w:tcMar>
              <w:top w:w="15" w:type="dxa"/>
              <w:left w:w="15" w:type="dxa"/>
              <w:right w:w="15" w:type="dxa"/>
            </w:tcMar>
            <w:vAlign w:val="center"/>
          </w:tcPr>
          <w:p>
            <w:pPr>
              <w:widowControl/>
              <w:jc w:val="center"/>
              <w:textAlignment w:val="center"/>
              <w:rPr>
                <w:rFonts w:ascii="Times New Roman" w:hAnsi="Times New Roman"/>
                <w:b w:val="0"/>
                <w:bCs w:val="0"/>
                <w:color w:val="auto"/>
                <w:sz w:val="21"/>
                <w:szCs w:val="21"/>
              </w:rPr>
            </w:pPr>
            <w:r>
              <w:rPr>
                <w:rFonts w:ascii="Times New Roman" w:hAnsi="Times New Roman"/>
                <w:b w:val="0"/>
                <w:bCs w:val="0"/>
                <w:color w:val="auto"/>
                <w:sz w:val="21"/>
                <w:szCs w:val="21"/>
              </w:rPr>
              <w:t>项目名称</w:t>
            </w:r>
          </w:p>
        </w:tc>
        <w:tc>
          <w:tcPr>
            <w:tcW w:w="652" w:type="pct"/>
            <w:shd w:val="clear" w:color="auto" w:fill="auto"/>
            <w:vAlign w:val="center"/>
          </w:tcPr>
          <w:p>
            <w:pPr>
              <w:widowControl/>
              <w:jc w:val="center"/>
              <w:textAlignment w:val="center"/>
              <w:rPr>
                <w:rFonts w:ascii="Times New Roman" w:hAnsi="Times New Roman"/>
                <w:b w:val="0"/>
                <w:bCs w:val="0"/>
                <w:color w:val="auto"/>
                <w:sz w:val="21"/>
                <w:szCs w:val="21"/>
              </w:rPr>
            </w:pPr>
            <w:r>
              <w:rPr>
                <w:rFonts w:ascii="Times New Roman" w:hAnsi="Times New Roman"/>
                <w:b w:val="0"/>
                <w:bCs w:val="0"/>
                <w:color w:val="auto"/>
                <w:sz w:val="21"/>
                <w:szCs w:val="21"/>
              </w:rPr>
              <w:t>级别</w:t>
            </w:r>
          </w:p>
        </w:tc>
        <w:tc>
          <w:tcPr>
            <w:tcW w:w="688" w:type="pct"/>
            <w:shd w:val="clear" w:color="auto" w:fill="auto"/>
            <w:tcMar>
              <w:top w:w="15" w:type="dxa"/>
              <w:left w:w="15" w:type="dxa"/>
              <w:right w:w="15" w:type="dxa"/>
            </w:tcMar>
            <w:vAlign w:val="center"/>
          </w:tcPr>
          <w:p>
            <w:pPr>
              <w:widowControl/>
              <w:jc w:val="center"/>
              <w:textAlignment w:val="center"/>
              <w:rPr>
                <w:rFonts w:ascii="Times New Roman" w:hAnsi="Times New Roman"/>
                <w:b w:val="0"/>
                <w:bCs w:val="0"/>
                <w:color w:val="auto"/>
                <w:sz w:val="21"/>
                <w:szCs w:val="21"/>
              </w:rPr>
            </w:pPr>
            <w:r>
              <w:rPr>
                <w:rFonts w:ascii="Times New Roman" w:hAnsi="Times New Roman"/>
                <w:b w:val="0"/>
                <w:bCs w:val="0"/>
                <w:color w:val="auto"/>
                <w:sz w:val="21"/>
                <w:szCs w:val="21"/>
              </w:rPr>
              <w:t>指导老师</w:t>
            </w:r>
          </w:p>
        </w:tc>
        <w:tc>
          <w:tcPr>
            <w:tcW w:w="634"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415" w:type="pct"/>
            <w:shd w:val="clear" w:color="auto" w:fill="auto"/>
            <w:tcMar>
              <w:top w:w="15" w:type="dxa"/>
              <w:left w:w="15" w:type="dxa"/>
              <w:right w:w="15" w:type="dxa"/>
            </w:tcMar>
            <w:vAlign w:val="center"/>
          </w:tcPr>
          <w:p>
            <w:pPr>
              <w:widowControl/>
              <w:jc w:val="center"/>
              <w:textAlignment w:val="center"/>
              <w:rPr>
                <w:rFonts w:hint="default"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1</w:t>
            </w:r>
          </w:p>
        </w:tc>
        <w:tc>
          <w:tcPr>
            <w:tcW w:w="2609" w:type="pct"/>
            <w:shd w:val="clear" w:color="auto" w:fill="auto"/>
            <w:tcMar>
              <w:top w:w="15" w:type="dxa"/>
              <w:left w:w="15" w:type="dxa"/>
              <w:right w:w="15" w:type="dxa"/>
            </w:tcMar>
            <w:vAlign w:val="center"/>
          </w:tcPr>
          <w:p>
            <w:pPr>
              <w:widowControl/>
              <w:jc w:val="center"/>
              <w:textAlignment w:val="center"/>
              <w:rPr>
                <w:rFonts w:hint="eastAsia"/>
                <w:b w:val="0"/>
                <w:bCs w:val="0"/>
                <w:color w:val="auto"/>
                <w:sz w:val="21"/>
                <w:szCs w:val="21"/>
                <w:highlight w:val="none"/>
              </w:rPr>
            </w:pPr>
            <w:r>
              <w:rPr>
                <w:rFonts w:hint="eastAsia"/>
                <w:b w:val="0"/>
                <w:bCs w:val="0"/>
                <w:color w:val="auto"/>
                <w:sz w:val="21"/>
                <w:szCs w:val="21"/>
                <w:highlight w:val="none"/>
              </w:rPr>
              <w:t>VR技术在房地产营销中实用性的研究</w:t>
            </w:r>
          </w:p>
        </w:tc>
        <w:tc>
          <w:tcPr>
            <w:tcW w:w="652" w:type="pct"/>
            <w:shd w:val="clear" w:color="auto" w:fill="auto"/>
            <w:vAlign w:val="center"/>
          </w:tcPr>
          <w:p>
            <w:pPr>
              <w:widowControl/>
              <w:jc w:val="center"/>
              <w:textAlignment w:val="center"/>
              <w:rPr>
                <w:rFonts w:hint="eastAsia" w:ascii="Times New Roman" w:hAnsi="Times New Roman"/>
                <w:b w:val="0"/>
                <w:bCs w:val="0"/>
                <w:color w:val="auto"/>
                <w:sz w:val="21"/>
                <w:szCs w:val="21"/>
                <w:highlight w:val="none"/>
                <w:lang w:val="en-US" w:eastAsia="zh-CN"/>
              </w:rPr>
            </w:pPr>
            <w:r>
              <w:rPr>
                <w:rFonts w:hint="eastAsia" w:ascii="Times New Roman" w:hAnsi="Times New Roman"/>
                <w:b w:val="0"/>
                <w:bCs w:val="0"/>
                <w:color w:val="auto"/>
                <w:sz w:val="21"/>
                <w:szCs w:val="21"/>
                <w:highlight w:val="none"/>
              </w:rPr>
              <w:t>省级</w:t>
            </w:r>
          </w:p>
        </w:tc>
        <w:tc>
          <w:tcPr>
            <w:tcW w:w="688"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b w:val="0"/>
                <w:bCs w:val="0"/>
                <w:color w:val="auto"/>
                <w:sz w:val="21"/>
                <w:szCs w:val="21"/>
                <w:highlight w:val="none"/>
                <w:lang w:val="en-US" w:eastAsia="zh-CN"/>
              </w:rPr>
            </w:pPr>
            <w:r>
              <w:rPr>
                <w:rFonts w:ascii="Times New Roman" w:hAnsi="Times New Roman"/>
                <w:b w:val="0"/>
                <w:bCs w:val="0"/>
                <w:color w:val="auto"/>
                <w:sz w:val="21"/>
                <w:szCs w:val="21"/>
                <w:highlight w:val="none"/>
              </w:rPr>
              <w:t>何智美</w:t>
            </w:r>
          </w:p>
        </w:tc>
        <w:tc>
          <w:tcPr>
            <w:tcW w:w="634" w:type="pct"/>
            <w:shd w:val="clear" w:color="auto" w:fill="auto"/>
            <w:tcMar>
              <w:top w:w="15" w:type="dxa"/>
              <w:left w:w="15" w:type="dxa"/>
              <w:right w:w="15" w:type="dxa"/>
            </w:tcMar>
            <w:vAlign w:val="center"/>
          </w:tcPr>
          <w:p>
            <w:pPr>
              <w:widowControl/>
              <w:jc w:val="center"/>
              <w:textAlignment w:val="center"/>
              <w:rPr>
                <w:rFonts w:hint="default" w:ascii="Times New Roman" w:hAnsi="Times New Roman"/>
                <w:b w:val="0"/>
                <w:bCs w:val="0"/>
                <w:color w:val="auto"/>
                <w:sz w:val="21"/>
                <w:szCs w:val="21"/>
                <w:highlight w:val="none"/>
                <w:lang w:val="en-US" w:eastAsia="zh-CN"/>
              </w:rPr>
            </w:pPr>
            <w:r>
              <w:rPr>
                <w:rFonts w:hint="eastAsia" w:ascii="Times New Roman" w:hAnsi="Times New Roman"/>
                <w:b w:val="0"/>
                <w:bCs w:val="0"/>
                <w:color w:val="auto"/>
                <w:sz w:val="21"/>
                <w:szCs w:val="21"/>
                <w:highlight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415" w:type="pct"/>
            <w:shd w:val="clear" w:color="auto" w:fill="auto"/>
            <w:tcMar>
              <w:top w:w="15" w:type="dxa"/>
              <w:left w:w="15" w:type="dxa"/>
              <w:right w:w="15" w:type="dxa"/>
            </w:tcMar>
            <w:vAlign w:val="center"/>
          </w:tcPr>
          <w:p>
            <w:pPr>
              <w:widowControl/>
              <w:jc w:val="center"/>
              <w:textAlignment w:val="center"/>
              <w:rPr>
                <w:rFonts w:hint="default"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2</w:t>
            </w:r>
          </w:p>
        </w:tc>
        <w:tc>
          <w:tcPr>
            <w:tcW w:w="260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无人机在外卖行业的应用及可行性的研究——以上海市为例</w:t>
            </w:r>
          </w:p>
        </w:tc>
        <w:tc>
          <w:tcPr>
            <w:tcW w:w="652" w:type="pct"/>
            <w:shd w:val="clear" w:color="auto" w:fill="auto"/>
            <w:vAlign w:val="center"/>
          </w:tcPr>
          <w:p>
            <w:pPr>
              <w:widowControl/>
              <w:jc w:val="center"/>
              <w:textAlignment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lang w:val="en-US" w:eastAsia="zh-CN"/>
              </w:rPr>
              <w:t>校级</w:t>
            </w:r>
          </w:p>
        </w:tc>
        <w:tc>
          <w:tcPr>
            <w:tcW w:w="688" w:type="pct"/>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刘尊礼</w:t>
            </w:r>
          </w:p>
        </w:tc>
        <w:tc>
          <w:tcPr>
            <w:tcW w:w="634" w:type="pct"/>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415" w:type="pct"/>
            <w:shd w:val="clear" w:color="auto" w:fill="auto"/>
            <w:tcMar>
              <w:top w:w="15" w:type="dxa"/>
              <w:left w:w="15" w:type="dxa"/>
              <w:right w:w="15" w:type="dxa"/>
            </w:tcMar>
            <w:vAlign w:val="center"/>
          </w:tcPr>
          <w:p>
            <w:pPr>
              <w:widowControl/>
              <w:jc w:val="center"/>
              <w:textAlignment w:val="center"/>
              <w:rPr>
                <w:rFonts w:hint="default"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3</w:t>
            </w:r>
          </w:p>
        </w:tc>
        <w:tc>
          <w:tcPr>
            <w:tcW w:w="260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松江大学城便利店的营销创新策略研究</w:t>
            </w:r>
          </w:p>
        </w:tc>
        <w:tc>
          <w:tcPr>
            <w:tcW w:w="652" w:type="pct"/>
            <w:shd w:val="clear" w:color="auto" w:fill="auto"/>
            <w:vAlign w:val="center"/>
          </w:tcPr>
          <w:p>
            <w:pPr>
              <w:widowControl/>
              <w:jc w:val="center"/>
              <w:textAlignment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lang w:val="en-US" w:eastAsia="zh-CN"/>
              </w:rPr>
              <w:t>校级</w:t>
            </w:r>
          </w:p>
        </w:tc>
        <w:tc>
          <w:tcPr>
            <w:tcW w:w="688" w:type="pct"/>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刘颖</w:t>
            </w:r>
          </w:p>
        </w:tc>
        <w:tc>
          <w:tcPr>
            <w:tcW w:w="634" w:type="pct"/>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415" w:type="pct"/>
            <w:shd w:val="clear" w:color="auto" w:fill="auto"/>
            <w:tcMar>
              <w:top w:w="15" w:type="dxa"/>
              <w:left w:w="15" w:type="dxa"/>
              <w:right w:w="15" w:type="dxa"/>
            </w:tcMar>
            <w:vAlign w:val="center"/>
          </w:tcPr>
          <w:p>
            <w:pPr>
              <w:widowControl/>
              <w:jc w:val="center"/>
              <w:textAlignment w:val="center"/>
              <w:rPr>
                <w:rFonts w:hint="default"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4</w:t>
            </w:r>
          </w:p>
        </w:tc>
        <w:tc>
          <w:tcPr>
            <w:tcW w:w="260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上海退役运动员创业的影响因素、趋势及政策建议研究</w:t>
            </w:r>
          </w:p>
        </w:tc>
        <w:tc>
          <w:tcPr>
            <w:tcW w:w="652" w:type="pct"/>
            <w:shd w:val="clear" w:color="auto" w:fill="auto"/>
            <w:vAlign w:val="center"/>
          </w:tcPr>
          <w:p>
            <w:pPr>
              <w:widowControl/>
              <w:jc w:val="center"/>
              <w:textAlignment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lang w:val="en-US" w:eastAsia="zh-CN"/>
              </w:rPr>
              <w:t>校级</w:t>
            </w:r>
          </w:p>
        </w:tc>
        <w:tc>
          <w:tcPr>
            <w:tcW w:w="688" w:type="pct"/>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朱强</w:t>
            </w:r>
          </w:p>
        </w:tc>
        <w:tc>
          <w:tcPr>
            <w:tcW w:w="634" w:type="pct"/>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415" w:type="pct"/>
            <w:shd w:val="clear" w:color="auto" w:fill="auto"/>
            <w:tcMar>
              <w:top w:w="15" w:type="dxa"/>
              <w:left w:w="15" w:type="dxa"/>
              <w:right w:w="15" w:type="dxa"/>
            </w:tcMar>
            <w:vAlign w:val="center"/>
          </w:tcPr>
          <w:p>
            <w:pPr>
              <w:widowControl/>
              <w:jc w:val="center"/>
              <w:textAlignment w:val="center"/>
              <w:rPr>
                <w:rFonts w:hint="default"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5</w:t>
            </w:r>
          </w:p>
        </w:tc>
        <w:tc>
          <w:tcPr>
            <w:tcW w:w="260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无人驾驶替代有人驾驶对消费者的影响</w:t>
            </w:r>
          </w:p>
        </w:tc>
        <w:tc>
          <w:tcPr>
            <w:tcW w:w="652" w:type="pct"/>
            <w:shd w:val="clear" w:color="auto" w:fill="auto"/>
            <w:vAlign w:val="center"/>
          </w:tcPr>
          <w:p>
            <w:pPr>
              <w:widowControl/>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校级</w:t>
            </w:r>
          </w:p>
        </w:tc>
        <w:tc>
          <w:tcPr>
            <w:tcW w:w="688" w:type="pct"/>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邵程林</w:t>
            </w:r>
          </w:p>
        </w:tc>
        <w:tc>
          <w:tcPr>
            <w:tcW w:w="634" w:type="pct"/>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415" w:type="pct"/>
            <w:shd w:val="clear" w:color="auto" w:fill="auto"/>
            <w:tcMar>
              <w:top w:w="15" w:type="dxa"/>
              <w:left w:w="15" w:type="dxa"/>
              <w:right w:w="15" w:type="dxa"/>
            </w:tcMar>
            <w:vAlign w:val="center"/>
          </w:tcPr>
          <w:p>
            <w:pPr>
              <w:widowControl/>
              <w:jc w:val="center"/>
              <w:textAlignment w:val="center"/>
              <w:rPr>
                <w:rFonts w:hint="default"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6</w:t>
            </w:r>
          </w:p>
        </w:tc>
        <w:tc>
          <w:tcPr>
            <w:tcW w:w="2609" w:type="pct"/>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当代青年群体婚恋观的现状、影响因素与干预策略研究</w:t>
            </w:r>
          </w:p>
        </w:tc>
        <w:tc>
          <w:tcPr>
            <w:tcW w:w="652" w:type="pct"/>
            <w:shd w:val="clear" w:color="auto" w:fill="auto"/>
            <w:vAlign w:val="center"/>
          </w:tcPr>
          <w:p>
            <w:pPr>
              <w:widowControl/>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校级</w:t>
            </w:r>
          </w:p>
        </w:tc>
        <w:tc>
          <w:tcPr>
            <w:tcW w:w="688" w:type="pct"/>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王静</w:t>
            </w:r>
          </w:p>
        </w:tc>
        <w:tc>
          <w:tcPr>
            <w:tcW w:w="634" w:type="pct"/>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2023</w:t>
            </w:r>
          </w:p>
        </w:tc>
      </w:tr>
    </w:tbl>
    <w:p>
      <w:pPr>
        <w:adjustRightInd w:val="0"/>
        <w:snapToGrid w:val="0"/>
        <w:spacing w:line="400" w:lineRule="exact"/>
        <w:ind w:firstLine="477" w:firstLineChars="198"/>
        <w:jc w:val="center"/>
        <w:rPr>
          <w:rFonts w:hint="eastAsia" w:ascii="Times New Roman" w:hAnsi="Times New Roman"/>
          <w:b/>
          <w:bCs/>
          <w:kern w:val="0"/>
          <w:sz w:val="24"/>
        </w:rPr>
      </w:pPr>
    </w:p>
    <w:p>
      <w:pPr>
        <w:adjustRightInd w:val="0"/>
        <w:snapToGrid w:val="0"/>
        <w:spacing w:line="400" w:lineRule="exact"/>
        <w:ind w:firstLine="415" w:firstLineChars="198"/>
        <w:jc w:val="center"/>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表</w:t>
      </w:r>
      <w:r>
        <w:rPr>
          <w:rFonts w:hint="eastAsia" w:ascii="Times New Roman" w:hAnsi="Times New Roman" w:eastAsia="宋体" w:cs="Times New Roman"/>
          <w:b w:val="0"/>
          <w:bCs w:val="0"/>
          <w:sz w:val="21"/>
          <w:szCs w:val="21"/>
          <w:lang w:val="en-US" w:eastAsia="zh-CN"/>
        </w:rPr>
        <w:t>1</w:t>
      </w:r>
      <w:r>
        <w:rPr>
          <w:rFonts w:hint="eastAsia" w:ascii="Times New Roman" w:hAnsi="Times New Roman" w:eastAsia="宋体" w:cs="Times New Roman"/>
          <w:b w:val="0"/>
          <w:bCs w:val="0"/>
          <w:sz w:val="21"/>
          <w:szCs w:val="21"/>
        </w:rPr>
        <w:t>1 指导</w:t>
      </w:r>
      <w:r>
        <w:rPr>
          <w:rFonts w:hint="eastAsia" w:ascii="Times New Roman" w:hAnsi="Times New Roman" w:eastAsia="宋体" w:cs="Times New Roman"/>
          <w:b w:val="0"/>
          <w:bCs w:val="0"/>
          <w:sz w:val="21"/>
          <w:szCs w:val="21"/>
          <w:lang w:val="en-US" w:eastAsia="zh-CN"/>
        </w:rPr>
        <w:t>学科</w:t>
      </w:r>
      <w:r>
        <w:rPr>
          <w:rFonts w:hint="eastAsia" w:ascii="Times New Roman" w:hAnsi="Times New Roman" w:eastAsia="宋体" w:cs="Times New Roman"/>
          <w:b w:val="0"/>
          <w:bCs w:val="0"/>
          <w:sz w:val="21"/>
          <w:szCs w:val="21"/>
        </w:rPr>
        <w:t>竞赛获奖</w:t>
      </w:r>
    </w:p>
    <w:bookmarkEnd w:id="48"/>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94"/>
        <w:gridCol w:w="4516"/>
        <w:gridCol w:w="1116"/>
        <w:gridCol w:w="924"/>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8" w:hRule="atLeast"/>
          <w:jc w:val="center"/>
        </w:trPr>
        <w:tc>
          <w:tcPr>
            <w:tcW w:w="416" w:type="pct"/>
            <w:shd w:val="clear" w:color="auto" w:fill="auto"/>
            <w:tcMar>
              <w:top w:w="15" w:type="dxa"/>
              <w:left w:w="15" w:type="dxa"/>
              <w:right w:w="15" w:type="dxa"/>
            </w:tcMar>
            <w:vAlign w:val="center"/>
          </w:tcPr>
          <w:p>
            <w:pPr>
              <w:widowControl/>
              <w:jc w:val="center"/>
              <w:textAlignment w:val="center"/>
              <w:rPr>
                <w:rFonts w:ascii="Times New Roman" w:hAnsi="Times New Roman"/>
                <w:b w:val="0"/>
                <w:bCs w:val="0"/>
                <w:color w:val="auto"/>
                <w:sz w:val="21"/>
                <w:szCs w:val="21"/>
              </w:rPr>
            </w:pPr>
            <w:bookmarkStart w:id="49" w:name="_Hlk103198134"/>
            <w:r>
              <w:rPr>
                <w:rFonts w:ascii="Times New Roman" w:hAnsi="Times New Roman"/>
                <w:b w:val="0"/>
                <w:bCs w:val="0"/>
                <w:color w:val="auto"/>
                <w:sz w:val="21"/>
                <w:szCs w:val="21"/>
              </w:rPr>
              <w:t>序号</w:t>
            </w:r>
          </w:p>
        </w:tc>
        <w:tc>
          <w:tcPr>
            <w:tcW w:w="2708" w:type="pct"/>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竞赛名称</w:t>
            </w:r>
          </w:p>
        </w:tc>
        <w:tc>
          <w:tcPr>
            <w:tcW w:w="669"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b w:val="0"/>
                <w:bCs w:val="0"/>
                <w:color w:val="auto"/>
                <w:sz w:val="21"/>
                <w:szCs w:val="21"/>
                <w:lang w:val="en-US" w:eastAsia="zh-CN"/>
              </w:rPr>
            </w:pPr>
            <w:r>
              <w:rPr>
                <w:rFonts w:ascii="Times New Roman" w:hAnsi="Times New Roman"/>
                <w:b w:val="0"/>
                <w:bCs w:val="0"/>
                <w:color w:val="auto"/>
                <w:sz w:val="21"/>
                <w:szCs w:val="21"/>
              </w:rPr>
              <w:t>项目</w:t>
            </w:r>
            <w:r>
              <w:rPr>
                <w:rFonts w:hint="eastAsia" w:ascii="Times New Roman" w:hAnsi="Times New Roman"/>
                <w:b w:val="0"/>
                <w:bCs w:val="0"/>
                <w:color w:val="auto"/>
                <w:sz w:val="21"/>
                <w:szCs w:val="21"/>
                <w:lang w:val="en-US" w:eastAsia="zh-CN"/>
              </w:rPr>
              <w:t>级别</w:t>
            </w:r>
          </w:p>
        </w:tc>
        <w:tc>
          <w:tcPr>
            <w:tcW w:w="554" w:type="pct"/>
            <w:shd w:val="clear" w:color="auto" w:fill="auto"/>
            <w:tcMar>
              <w:top w:w="15" w:type="dxa"/>
              <w:left w:w="15" w:type="dxa"/>
              <w:right w:w="15" w:type="dxa"/>
            </w:tcMar>
            <w:vAlign w:val="center"/>
          </w:tcPr>
          <w:p>
            <w:pPr>
              <w:widowControl/>
              <w:jc w:val="center"/>
              <w:textAlignment w:val="center"/>
              <w:rPr>
                <w:rFonts w:ascii="Times New Roman" w:hAnsi="Times New Roman"/>
                <w:b w:val="0"/>
                <w:bCs w:val="0"/>
                <w:color w:val="auto"/>
                <w:sz w:val="21"/>
                <w:szCs w:val="21"/>
              </w:rPr>
            </w:pPr>
            <w:r>
              <w:rPr>
                <w:rFonts w:ascii="Times New Roman" w:hAnsi="Times New Roman"/>
                <w:b w:val="0"/>
                <w:bCs w:val="0"/>
                <w:color w:val="auto"/>
                <w:sz w:val="21"/>
                <w:szCs w:val="21"/>
              </w:rPr>
              <w:t>奖项</w:t>
            </w:r>
          </w:p>
        </w:tc>
        <w:tc>
          <w:tcPr>
            <w:tcW w:w="651" w:type="pct"/>
            <w:shd w:val="clear" w:color="auto" w:fill="auto"/>
            <w:tcMar>
              <w:top w:w="15" w:type="dxa"/>
              <w:left w:w="15" w:type="dxa"/>
              <w:right w:w="15" w:type="dxa"/>
            </w:tcMar>
            <w:vAlign w:val="center"/>
          </w:tcPr>
          <w:p>
            <w:pPr>
              <w:widowControl/>
              <w:jc w:val="center"/>
              <w:textAlignment w:val="center"/>
              <w:rPr>
                <w:rFonts w:ascii="Times New Roman" w:hAnsi="Times New Roman"/>
                <w:b w:val="0"/>
                <w:bCs w:val="0"/>
                <w:color w:val="auto"/>
                <w:sz w:val="21"/>
                <w:szCs w:val="21"/>
              </w:rPr>
            </w:pPr>
            <w:r>
              <w:rPr>
                <w:rFonts w:ascii="Times New Roman" w:hAnsi="Times New Roman"/>
                <w:b w:val="0"/>
                <w:bCs w:val="0"/>
                <w:color w:val="auto"/>
                <w:sz w:val="21"/>
                <w:szCs w:val="21"/>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jc w:val="center"/>
        </w:trPr>
        <w:tc>
          <w:tcPr>
            <w:tcW w:w="416" w:type="pct"/>
            <w:shd w:val="clear" w:color="auto" w:fill="auto"/>
            <w:tcMar>
              <w:top w:w="15" w:type="dxa"/>
              <w:left w:w="15" w:type="dxa"/>
              <w:right w:w="15" w:type="dxa"/>
            </w:tcMar>
            <w:vAlign w:val="center"/>
          </w:tcPr>
          <w:p>
            <w:pPr>
              <w:widowControl/>
              <w:jc w:val="center"/>
              <w:textAlignment w:val="center"/>
              <w:rPr>
                <w:rFonts w:ascii="Times New Roman" w:hAnsi="Times New Roman"/>
                <w:b w:val="0"/>
                <w:bCs w:val="0"/>
                <w:color w:val="auto"/>
                <w:sz w:val="21"/>
                <w:szCs w:val="21"/>
              </w:rPr>
            </w:pPr>
            <w:r>
              <w:rPr>
                <w:rFonts w:ascii="Times New Roman" w:hAnsi="Times New Roman"/>
                <w:b w:val="0"/>
                <w:bCs w:val="0"/>
                <w:color w:val="auto"/>
                <w:sz w:val="21"/>
                <w:szCs w:val="21"/>
              </w:rPr>
              <w:t>1</w:t>
            </w:r>
          </w:p>
        </w:tc>
        <w:tc>
          <w:tcPr>
            <w:tcW w:w="2708" w:type="pct"/>
            <w:shd w:val="clear" w:color="auto" w:fill="auto"/>
            <w:tcMar>
              <w:top w:w="15" w:type="dxa"/>
              <w:left w:w="15" w:type="dxa"/>
              <w:right w:w="15" w:type="dxa"/>
            </w:tcMar>
            <w:vAlign w:val="center"/>
          </w:tcPr>
          <w:p>
            <w:pPr>
              <w:widowControl/>
              <w:jc w:val="center"/>
              <w:textAlignment w:val="center"/>
              <w:rPr>
                <w:rFonts w:ascii="Times New Roman" w:hAnsi="Times New Roman"/>
                <w:b w:val="0"/>
                <w:bCs w:val="0"/>
                <w:color w:val="auto"/>
                <w:sz w:val="21"/>
                <w:szCs w:val="21"/>
              </w:rPr>
            </w:pPr>
            <w:r>
              <w:rPr>
                <w:rFonts w:hint="eastAsia" w:ascii="Times New Roman" w:hAnsi="Times New Roman"/>
                <w:b w:val="0"/>
                <w:bCs w:val="0"/>
                <w:color w:val="auto"/>
                <w:sz w:val="21"/>
                <w:szCs w:val="21"/>
              </w:rPr>
              <w:t>全国大学生电子商务挑战赛</w:t>
            </w:r>
          </w:p>
        </w:tc>
        <w:tc>
          <w:tcPr>
            <w:tcW w:w="669" w:type="pct"/>
            <w:shd w:val="clear" w:color="auto" w:fill="auto"/>
            <w:tcMar>
              <w:top w:w="15" w:type="dxa"/>
              <w:left w:w="15" w:type="dxa"/>
              <w:right w:w="15" w:type="dxa"/>
            </w:tcMar>
            <w:vAlign w:val="center"/>
          </w:tcPr>
          <w:p>
            <w:pPr>
              <w:widowControl/>
              <w:jc w:val="center"/>
              <w:textAlignment w:val="center"/>
              <w:rPr>
                <w:rFonts w:ascii="Times New Roman" w:hAnsi="Times New Roman"/>
                <w:b w:val="0"/>
                <w:bCs w:val="0"/>
                <w:color w:val="auto"/>
                <w:sz w:val="21"/>
                <w:szCs w:val="21"/>
              </w:rPr>
            </w:pPr>
            <w:r>
              <w:rPr>
                <w:rFonts w:ascii="Times New Roman" w:hAnsi="Times New Roman"/>
                <w:b w:val="0"/>
                <w:bCs w:val="0"/>
                <w:color w:val="auto"/>
                <w:sz w:val="21"/>
                <w:szCs w:val="21"/>
              </w:rPr>
              <w:t>国家级</w:t>
            </w:r>
          </w:p>
        </w:tc>
        <w:tc>
          <w:tcPr>
            <w:tcW w:w="554" w:type="pct"/>
            <w:shd w:val="clear" w:color="auto" w:fill="auto"/>
            <w:tcMar>
              <w:top w:w="15" w:type="dxa"/>
              <w:left w:w="15" w:type="dxa"/>
              <w:right w:w="15" w:type="dxa"/>
            </w:tcMar>
            <w:vAlign w:val="center"/>
          </w:tcPr>
          <w:p>
            <w:pPr>
              <w:widowControl/>
              <w:jc w:val="center"/>
              <w:textAlignment w:val="center"/>
              <w:rPr>
                <w:rFonts w:ascii="Times New Roman" w:hAnsi="Times New Roman"/>
                <w:b w:val="0"/>
                <w:bCs w:val="0"/>
                <w:color w:val="auto"/>
                <w:sz w:val="21"/>
                <w:szCs w:val="21"/>
              </w:rPr>
            </w:pPr>
            <w:r>
              <w:rPr>
                <w:rFonts w:hint="eastAsia" w:ascii="Times New Roman" w:hAnsi="Times New Roman"/>
                <w:b w:val="0"/>
                <w:bCs w:val="0"/>
                <w:color w:val="auto"/>
                <w:sz w:val="21"/>
                <w:szCs w:val="21"/>
              </w:rPr>
              <w:t>三</w:t>
            </w:r>
            <w:r>
              <w:rPr>
                <w:rFonts w:ascii="Times New Roman" w:hAnsi="Times New Roman"/>
                <w:b w:val="0"/>
                <w:bCs w:val="0"/>
                <w:color w:val="auto"/>
                <w:sz w:val="21"/>
                <w:szCs w:val="21"/>
              </w:rPr>
              <w:t>等</w:t>
            </w:r>
            <w:r>
              <w:rPr>
                <w:rFonts w:hint="eastAsia" w:ascii="Times New Roman" w:hAnsi="Times New Roman"/>
                <w:b w:val="0"/>
                <w:bCs w:val="0"/>
                <w:color w:val="auto"/>
                <w:sz w:val="21"/>
                <w:szCs w:val="21"/>
              </w:rPr>
              <w:t>奖</w:t>
            </w:r>
          </w:p>
        </w:tc>
        <w:tc>
          <w:tcPr>
            <w:tcW w:w="651" w:type="pct"/>
            <w:shd w:val="clear" w:color="auto" w:fill="auto"/>
            <w:tcMar>
              <w:top w:w="15" w:type="dxa"/>
              <w:left w:w="15" w:type="dxa"/>
              <w:right w:w="15" w:type="dxa"/>
            </w:tcMar>
            <w:vAlign w:val="center"/>
          </w:tcPr>
          <w:p>
            <w:pPr>
              <w:widowControl/>
              <w:jc w:val="center"/>
              <w:textAlignment w:val="center"/>
              <w:rPr>
                <w:rFonts w:ascii="Times New Roman" w:hAnsi="Times New Roman"/>
                <w:b w:val="0"/>
                <w:bCs w:val="0"/>
                <w:color w:val="auto"/>
                <w:sz w:val="21"/>
                <w:szCs w:val="21"/>
              </w:rPr>
            </w:pPr>
            <w:r>
              <w:rPr>
                <w:rFonts w:hint="eastAsia" w:ascii="Times New Roman" w:hAnsi="Times New Roman"/>
                <w:b w:val="0"/>
                <w:bCs w:val="0"/>
                <w:color w:val="auto"/>
                <w:sz w:val="21"/>
                <w:szCs w:val="21"/>
              </w:rPr>
              <w:t>王静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16"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bidi="ar-SA"/>
              </w:rPr>
            </w:pPr>
            <w:r>
              <w:rPr>
                <w:rFonts w:hint="eastAsia" w:ascii="Times New Roman" w:hAnsi="Times New Roman"/>
                <w:b w:val="0"/>
                <w:bCs w:val="0"/>
                <w:color w:val="auto"/>
                <w:sz w:val="21"/>
                <w:szCs w:val="21"/>
                <w:lang w:val="en-US" w:eastAsia="zh-CN"/>
              </w:rPr>
              <w:t>2</w:t>
            </w:r>
          </w:p>
        </w:tc>
        <w:tc>
          <w:tcPr>
            <w:tcW w:w="2708"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bidi="ar-SA"/>
              </w:rPr>
            </w:pPr>
            <w:r>
              <w:rPr>
                <w:rFonts w:ascii="Times New Roman" w:hAnsi="Times New Roman"/>
                <w:b w:val="0"/>
                <w:bCs w:val="0"/>
                <w:color w:val="auto"/>
                <w:sz w:val="21"/>
                <w:szCs w:val="21"/>
              </w:rPr>
              <w:t>第十届商业英语辩论大赛</w:t>
            </w:r>
          </w:p>
        </w:tc>
        <w:tc>
          <w:tcPr>
            <w:tcW w:w="669" w:type="pct"/>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b w:val="0"/>
                <w:bCs w:val="0"/>
                <w:color w:val="auto"/>
                <w:sz w:val="21"/>
                <w:szCs w:val="21"/>
                <w:lang w:val="en-US" w:eastAsia="zh-CN" w:bidi="ar-SA"/>
              </w:rPr>
            </w:pPr>
            <w:r>
              <w:rPr>
                <w:rFonts w:ascii="Times New Roman" w:hAnsi="Times New Roman"/>
                <w:b w:val="0"/>
                <w:bCs w:val="0"/>
                <w:color w:val="auto"/>
                <w:sz w:val="21"/>
                <w:szCs w:val="21"/>
              </w:rPr>
              <w:t>省级</w:t>
            </w:r>
          </w:p>
        </w:tc>
        <w:tc>
          <w:tcPr>
            <w:tcW w:w="554"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bidi="ar-SA"/>
              </w:rPr>
            </w:pPr>
            <w:r>
              <w:rPr>
                <w:rFonts w:ascii="Times New Roman" w:hAnsi="Times New Roman"/>
                <w:b w:val="0"/>
                <w:bCs w:val="0"/>
                <w:color w:val="auto"/>
                <w:sz w:val="21"/>
                <w:szCs w:val="21"/>
              </w:rPr>
              <w:t>二等奖</w:t>
            </w:r>
          </w:p>
        </w:tc>
        <w:tc>
          <w:tcPr>
            <w:tcW w:w="651"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bidi="ar-SA"/>
              </w:rPr>
            </w:pPr>
            <w:r>
              <w:rPr>
                <w:rFonts w:ascii="Times New Roman" w:hAnsi="Times New Roman"/>
                <w:b w:val="0"/>
                <w:bCs w:val="0"/>
                <w:color w:val="auto"/>
                <w:sz w:val="21"/>
                <w:szCs w:val="21"/>
              </w:rPr>
              <w:t>何智美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16"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bidi="ar-SA"/>
              </w:rPr>
            </w:pPr>
            <w:r>
              <w:rPr>
                <w:rFonts w:hint="eastAsia" w:ascii="Times New Roman" w:hAnsi="Times New Roman"/>
                <w:b w:val="0"/>
                <w:bCs w:val="0"/>
                <w:color w:val="auto"/>
                <w:sz w:val="21"/>
                <w:szCs w:val="21"/>
                <w:lang w:val="en-US" w:eastAsia="zh-CN"/>
              </w:rPr>
              <w:t>3</w:t>
            </w:r>
          </w:p>
        </w:tc>
        <w:tc>
          <w:tcPr>
            <w:tcW w:w="2708"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rPr>
            </w:pPr>
            <w:r>
              <w:rPr>
                <w:rFonts w:hint="eastAsia" w:ascii="Times New Roman" w:hAnsi="Times New Roman" w:eastAsia="宋体" w:cs="宋体"/>
                <w:b w:val="0"/>
                <w:bCs w:val="0"/>
                <w:color w:val="auto"/>
                <w:sz w:val="21"/>
                <w:szCs w:val="21"/>
              </w:rPr>
              <w:t>第七届“汇创青春”大学生文化创意作品展示</w:t>
            </w:r>
          </w:p>
        </w:tc>
        <w:tc>
          <w:tcPr>
            <w:tcW w:w="669" w:type="pct"/>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b w:val="0"/>
                <w:bCs w:val="0"/>
                <w:color w:val="auto"/>
                <w:sz w:val="21"/>
                <w:szCs w:val="21"/>
                <w:lang w:val="en-US" w:eastAsia="zh-CN" w:bidi="ar-SA"/>
              </w:rPr>
            </w:pPr>
            <w:r>
              <w:rPr>
                <w:rFonts w:ascii="Times New Roman" w:hAnsi="Times New Roman"/>
                <w:b w:val="0"/>
                <w:bCs w:val="0"/>
                <w:color w:val="auto"/>
                <w:sz w:val="21"/>
                <w:szCs w:val="21"/>
              </w:rPr>
              <w:t>省级</w:t>
            </w:r>
          </w:p>
        </w:tc>
        <w:tc>
          <w:tcPr>
            <w:tcW w:w="554"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bidi="ar-SA"/>
              </w:rPr>
            </w:pPr>
            <w:r>
              <w:rPr>
                <w:rFonts w:hint="eastAsia" w:ascii="Times New Roman" w:hAnsi="Times New Roman"/>
                <w:b w:val="0"/>
                <w:bCs w:val="0"/>
                <w:color w:val="auto"/>
                <w:sz w:val="21"/>
                <w:szCs w:val="21"/>
                <w:lang w:val="en-US" w:eastAsia="zh-CN"/>
              </w:rPr>
              <w:t>三</w:t>
            </w:r>
            <w:r>
              <w:rPr>
                <w:rFonts w:ascii="Times New Roman" w:hAnsi="Times New Roman"/>
                <w:b w:val="0"/>
                <w:bCs w:val="0"/>
                <w:color w:val="auto"/>
                <w:sz w:val="21"/>
                <w:szCs w:val="21"/>
              </w:rPr>
              <w:t>等奖</w:t>
            </w:r>
          </w:p>
        </w:tc>
        <w:tc>
          <w:tcPr>
            <w:tcW w:w="651"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bidi="ar-SA"/>
              </w:rPr>
            </w:pPr>
            <w:r>
              <w:rPr>
                <w:rFonts w:hint="eastAsia" w:ascii="Times New Roman" w:hAnsi="Times New Roman"/>
                <w:b w:val="0"/>
                <w:bCs w:val="0"/>
                <w:color w:val="auto"/>
                <w:sz w:val="21"/>
                <w:szCs w:val="21"/>
                <w:lang w:val="en-US" w:eastAsia="zh-CN"/>
              </w:rPr>
              <w:t>田雪莹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16"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bidi="ar-SA"/>
              </w:rPr>
            </w:pPr>
            <w:r>
              <w:rPr>
                <w:rFonts w:hint="eastAsia" w:ascii="Times New Roman" w:hAnsi="Times New Roman"/>
                <w:b w:val="0"/>
                <w:bCs w:val="0"/>
                <w:color w:val="auto"/>
                <w:sz w:val="21"/>
                <w:szCs w:val="21"/>
                <w:lang w:val="en-US" w:eastAsia="zh-CN"/>
              </w:rPr>
              <w:t>4</w:t>
            </w:r>
          </w:p>
        </w:tc>
        <w:tc>
          <w:tcPr>
            <w:tcW w:w="2708"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rPr>
            </w:pPr>
            <w:r>
              <w:rPr>
                <w:rFonts w:hint="eastAsia" w:ascii="Times New Roman" w:hAnsi="Times New Roman" w:eastAsia="宋体" w:cs="宋体"/>
                <w:b w:val="0"/>
                <w:bCs w:val="0"/>
                <w:color w:val="auto"/>
                <w:sz w:val="21"/>
                <w:szCs w:val="21"/>
              </w:rPr>
              <w:t>正大杯第十三届全国大学生市场调查与分析大赛</w:t>
            </w:r>
          </w:p>
        </w:tc>
        <w:tc>
          <w:tcPr>
            <w:tcW w:w="669" w:type="pct"/>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b w:val="0"/>
                <w:bCs w:val="0"/>
                <w:color w:val="auto"/>
                <w:sz w:val="21"/>
                <w:szCs w:val="21"/>
                <w:lang w:val="en-US" w:eastAsia="zh-CN" w:bidi="ar-SA"/>
              </w:rPr>
            </w:pPr>
            <w:r>
              <w:rPr>
                <w:rFonts w:hint="eastAsia" w:ascii="Times New Roman" w:hAnsi="Times New Roman"/>
                <w:b w:val="0"/>
                <w:bCs w:val="0"/>
                <w:color w:val="auto"/>
                <w:sz w:val="21"/>
                <w:szCs w:val="21"/>
              </w:rPr>
              <w:t>省级</w:t>
            </w:r>
          </w:p>
        </w:tc>
        <w:tc>
          <w:tcPr>
            <w:tcW w:w="554"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bidi="ar-SA"/>
              </w:rPr>
            </w:pPr>
            <w:r>
              <w:rPr>
                <w:rFonts w:hint="eastAsia" w:ascii="Times New Roman" w:hAnsi="Times New Roman"/>
                <w:b w:val="0"/>
                <w:bCs w:val="0"/>
                <w:color w:val="auto"/>
                <w:sz w:val="21"/>
                <w:szCs w:val="21"/>
                <w:lang w:val="en-US" w:eastAsia="zh-CN"/>
              </w:rPr>
              <w:t>二等奖</w:t>
            </w:r>
          </w:p>
        </w:tc>
        <w:tc>
          <w:tcPr>
            <w:tcW w:w="651"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bidi="ar-SA"/>
              </w:rPr>
            </w:pPr>
            <w:r>
              <w:rPr>
                <w:rFonts w:hint="eastAsia" w:ascii="Times New Roman" w:hAnsi="Times New Roman"/>
                <w:b w:val="0"/>
                <w:bCs w:val="0"/>
                <w:color w:val="auto"/>
                <w:sz w:val="21"/>
                <w:szCs w:val="21"/>
                <w:lang w:val="en-US" w:eastAsia="zh-CN"/>
              </w:rPr>
              <w:t>田雪莹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16"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bidi="ar-SA"/>
              </w:rPr>
            </w:pPr>
            <w:r>
              <w:rPr>
                <w:rFonts w:hint="eastAsia" w:ascii="Times New Roman" w:hAnsi="Times New Roman"/>
                <w:b w:val="0"/>
                <w:bCs w:val="0"/>
                <w:color w:val="auto"/>
                <w:sz w:val="21"/>
                <w:szCs w:val="21"/>
                <w:lang w:val="en-US" w:eastAsia="zh-CN"/>
              </w:rPr>
              <w:t>5</w:t>
            </w:r>
          </w:p>
        </w:tc>
        <w:tc>
          <w:tcPr>
            <w:tcW w:w="2708"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rPr>
            </w:pPr>
            <w:r>
              <w:rPr>
                <w:rFonts w:hint="eastAsia" w:ascii="Times New Roman" w:hAnsi="Times New Roman" w:eastAsia="宋体" w:cs="宋体"/>
                <w:b w:val="0"/>
                <w:bCs w:val="0"/>
                <w:color w:val="auto"/>
                <w:sz w:val="21"/>
                <w:szCs w:val="21"/>
              </w:rPr>
              <w:t>第</w:t>
            </w:r>
            <w:r>
              <w:rPr>
                <w:rFonts w:hint="eastAsia" w:ascii="Times New Roman" w:hAnsi="Times New Roman" w:eastAsia="宋体" w:cs="宋体"/>
                <w:b w:val="0"/>
                <w:bCs w:val="0"/>
                <w:color w:val="auto"/>
                <w:sz w:val="21"/>
                <w:szCs w:val="21"/>
                <w:lang w:val="en-US" w:eastAsia="zh-CN"/>
              </w:rPr>
              <w:t>九</w:t>
            </w:r>
            <w:r>
              <w:rPr>
                <w:rFonts w:hint="eastAsia" w:ascii="Times New Roman" w:hAnsi="Times New Roman" w:eastAsia="宋体" w:cs="宋体"/>
                <w:b w:val="0"/>
                <w:bCs w:val="0"/>
                <w:color w:val="auto"/>
                <w:sz w:val="21"/>
                <w:szCs w:val="21"/>
              </w:rPr>
              <w:t>届中国国际“互联网+”大学生创新创业大赛</w:t>
            </w:r>
          </w:p>
        </w:tc>
        <w:tc>
          <w:tcPr>
            <w:tcW w:w="669" w:type="pct"/>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b w:val="0"/>
                <w:bCs w:val="0"/>
                <w:color w:val="auto"/>
                <w:sz w:val="21"/>
                <w:szCs w:val="21"/>
                <w:lang w:val="en-US" w:eastAsia="zh-CN" w:bidi="ar-SA"/>
              </w:rPr>
            </w:pPr>
            <w:r>
              <w:rPr>
                <w:rFonts w:hint="eastAsia" w:ascii="Times New Roman" w:hAnsi="Times New Roman"/>
                <w:b w:val="0"/>
                <w:bCs w:val="0"/>
                <w:color w:val="auto"/>
                <w:sz w:val="21"/>
                <w:szCs w:val="21"/>
              </w:rPr>
              <w:t>省级</w:t>
            </w:r>
          </w:p>
        </w:tc>
        <w:tc>
          <w:tcPr>
            <w:tcW w:w="554"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bidi="ar-SA"/>
              </w:rPr>
            </w:pPr>
            <w:r>
              <w:rPr>
                <w:rFonts w:hint="eastAsia" w:ascii="Times New Roman" w:hAnsi="Times New Roman"/>
                <w:b w:val="0"/>
                <w:bCs w:val="0"/>
                <w:color w:val="auto"/>
                <w:sz w:val="21"/>
                <w:szCs w:val="21"/>
              </w:rPr>
              <w:t>优胜奖</w:t>
            </w:r>
          </w:p>
        </w:tc>
        <w:tc>
          <w:tcPr>
            <w:tcW w:w="651"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b w:val="0"/>
                <w:bCs w:val="0"/>
                <w:color w:val="auto"/>
                <w:sz w:val="21"/>
                <w:szCs w:val="21"/>
                <w:lang w:val="en-US" w:eastAsia="zh-CN" w:bidi="ar-SA"/>
              </w:rPr>
            </w:pPr>
            <w:r>
              <w:rPr>
                <w:rFonts w:hint="eastAsia" w:ascii="Times New Roman" w:hAnsi="Times New Roman"/>
                <w:b w:val="0"/>
                <w:bCs w:val="0"/>
                <w:color w:val="auto"/>
                <w:sz w:val="21"/>
                <w:szCs w:val="21"/>
              </w:rPr>
              <w:t>田雪莹</w:t>
            </w:r>
          </w:p>
        </w:tc>
      </w:tr>
      <w:bookmarkEnd w:id="49"/>
    </w:tbl>
    <w:p>
      <w:pPr>
        <w:pStyle w:val="4"/>
        <w:rPr>
          <w:rFonts w:hint="eastAsia" w:ascii="宋体" w:hAnsi="宋体" w:eastAsia="宋体"/>
          <w:b/>
          <w:bCs/>
          <w:sz w:val="24"/>
          <w:szCs w:val="24"/>
        </w:rPr>
      </w:pPr>
      <w:bookmarkStart w:id="50" w:name="_Toc30226"/>
      <w:r>
        <w:rPr>
          <w:rFonts w:hint="eastAsia" w:ascii="宋体" w:hAnsi="宋体" w:eastAsia="宋体"/>
          <w:b/>
          <w:bCs/>
          <w:sz w:val="24"/>
          <w:szCs w:val="24"/>
        </w:rPr>
        <w:t>3.9学生毕业综合训练情况</w:t>
      </w:r>
      <w:bookmarkEnd w:id="50"/>
    </w:p>
    <w:p>
      <w:pPr>
        <w:spacing w:line="360" w:lineRule="auto"/>
        <w:ind w:firstLine="480" w:firstLineChars="200"/>
        <w:jc w:val="both"/>
        <w:rPr>
          <w:rFonts w:hint="default" w:ascii="Times New Roman" w:hAnsi="Times New Roman" w:eastAsia="宋体" w:cs="Times New Roman"/>
          <w:szCs w:val="28"/>
          <w:lang w:val="en-US"/>
        </w:rPr>
      </w:pPr>
      <w:r>
        <w:rPr>
          <w:rFonts w:hint="eastAsia" w:ascii="Times New Roman" w:hAnsi="Times New Roman" w:eastAsia="宋体" w:cs="Times New Roman"/>
          <w:szCs w:val="28"/>
          <w:lang w:val="en-US" w:eastAsia="zh-CN"/>
        </w:rPr>
        <w:t>学生毕业综合训练课题共52个，其中在实验、实习、社会调查等社会实践中完成数52个，占比100%；指导教师中本专业教师9人，外专业教师2人，校外教师1人，每名教师平均指导毕业生数4.33人。</w:t>
      </w:r>
      <w:r>
        <w:rPr>
          <w:rFonts w:hint="eastAsia" w:ascii="Times New Roman" w:hAnsi="Times New Roman" w:cs="Times New Roman"/>
          <w:szCs w:val="28"/>
          <w:lang w:val="en-US" w:eastAsia="zh-CN"/>
        </w:rPr>
        <w:t>“‘它经济’背景下宠物消费的社群营销策略研究”、“网红效应对消费者购买意愿的影响机制研究”2篇论文获得校优秀毕业论文。</w:t>
      </w:r>
    </w:p>
    <w:p>
      <w:pPr>
        <w:spacing w:line="360" w:lineRule="auto"/>
        <w:jc w:val="center"/>
        <w:rPr>
          <w:rFonts w:hint="default" w:ascii="Times New Roman" w:hAnsi="Times New Roman" w:eastAsia="宋体" w:cs="Times New Roman"/>
          <w:szCs w:val="28"/>
          <w:lang w:val="en-US" w:eastAsia="zh-CN"/>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12</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学生毕业综合训练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96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gridSpan w:val="2"/>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项目</w:t>
            </w:r>
          </w:p>
        </w:tc>
        <w:tc>
          <w:tcPr>
            <w:tcW w:w="2347"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毕业综合训练课题（个）</w:t>
            </w:r>
          </w:p>
        </w:tc>
        <w:tc>
          <w:tcPr>
            <w:tcW w:w="3969"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总数</w:t>
            </w:r>
          </w:p>
        </w:tc>
        <w:tc>
          <w:tcPr>
            <w:tcW w:w="2347"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rFonts w:hint="default" w:ascii="Times New Roman" w:hAnsi="Times New Roman" w:cs="Times New Roman"/>
                <w:sz w:val="22"/>
                <w:szCs w:val="22"/>
              </w:rPr>
            </w:pPr>
          </w:p>
        </w:tc>
        <w:tc>
          <w:tcPr>
            <w:tcW w:w="3969"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其中：在实验、实习、社会调查等社会实践中完成数</w:t>
            </w:r>
          </w:p>
        </w:tc>
        <w:tc>
          <w:tcPr>
            <w:tcW w:w="2347"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52</w:t>
            </w:r>
            <w:bookmarkStart w:id="51" w:name="OLE_LINK19"/>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rFonts w:hint="default" w:ascii="Times New Roman" w:hAnsi="Times New Roman" w:cs="Times New Roman"/>
                <w:sz w:val="22"/>
                <w:szCs w:val="22"/>
              </w:rPr>
            </w:pPr>
          </w:p>
        </w:tc>
        <w:tc>
          <w:tcPr>
            <w:tcW w:w="3969"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其中：在实验、实习、社会调查等社会实践中完成比例（%）</w:t>
            </w:r>
          </w:p>
        </w:tc>
        <w:tc>
          <w:tcPr>
            <w:tcW w:w="2347"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jc w:val="center"/>
              <w:rPr>
                <w:rFonts w:hint="default" w:ascii="Times New Roman" w:hAnsi="Times New Roman" w:cs="Times New Roman"/>
                <w:sz w:val="22"/>
                <w:szCs w:val="22"/>
              </w:rPr>
            </w:pPr>
            <w:bookmarkStart w:id="52" w:name="OLE_LINK20"/>
            <w:r>
              <w:rPr>
                <w:rFonts w:hint="default" w:ascii="Times New Roman" w:hAnsi="Times New Roman" w:cs="Times New Roman"/>
                <w:sz w:val="22"/>
                <w:szCs w:val="22"/>
              </w:rPr>
              <w:t>指导教师数</w:t>
            </w:r>
            <w:bookmarkEnd w:id="52"/>
          </w:p>
        </w:tc>
        <w:tc>
          <w:tcPr>
            <w:tcW w:w="3969"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本专业教师</w:t>
            </w:r>
          </w:p>
        </w:tc>
        <w:tc>
          <w:tcPr>
            <w:tcW w:w="2347"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rFonts w:hint="default" w:ascii="Times New Roman" w:hAnsi="Times New Roman" w:cs="Times New Roman"/>
                <w:sz w:val="22"/>
                <w:szCs w:val="22"/>
              </w:rPr>
            </w:pPr>
          </w:p>
        </w:tc>
        <w:tc>
          <w:tcPr>
            <w:tcW w:w="3969"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外专业教师</w:t>
            </w:r>
          </w:p>
        </w:tc>
        <w:tc>
          <w:tcPr>
            <w:tcW w:w="2347"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rFonts w:hint="default" w:ascii="Times New Roman" w:hAnsi="Times New Roman" w:cs="Times New Roman"/>
                <w:sz w:val="22"/>
                <w:szCs w:val="22"/>
              </w:rPr>
            </w:pPr>
          </w:p>
        </w:tc>
        <w:tc>
          <w:tcPr>
            <w:tcW w:w="3969" w:type="dxa"/>
            <w:vAlign w:val="center"/>
          </w:tcPr>
          <w:p>
            <w:pPr>
              <w:jc w:val="center"/>
              <w:rPr>
                <w:rFonts w:hint="default" w:ascii="Times New Roman" w:hAnsi="Times New Roman" w:cs="Times New Roman"/>
                <w:sz w:val="22"/>
                <w:szCs w:val="22"/>
              </w:rPr>
            </w:pPr>
            <w:bookmarkStart w:id="53" w:name="OLE_LINK21"/>
            <w:r>
              <w:rPr>
                <w:rFonts w:hint="default" w:ascii="Times New Roman" w:hAnsi="Times New Roman" w:cs="Times New Roman"/>
                <w:sz w:val="22"/>
                <w:szCs w:val="22"/>
              </w:rPr>
              <w:t>校外指导教师</w:t>
            </w:r>
            <w:bookmarkEnd w:id="53"/>
          </w:p>
        </w:tc>
        <w:tc>
          <w:tcPr>
            <w:tcW w:w="2347"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gridSpan w:val="2"/>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每名教师平均指导毕业生数</w:t>
            </w:r>
          </w:p>
        </w:tc>
        <w:tc>
          <w:tcPr>
            <w:tcW w:w="2347"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4.33</w:t>
            </w:r>
          </w:p>
        </w:tc>
      </w:tr>
    </w:tbl>
    <w:p/>
    <w:p>
      <w:pPr>
        <w:rPr>
          <w:rFonts w:hint="default" w:ascii="Times New Roman" w:hAnsi="Times New Roman" w:cs="Times New Roman"/>
          <w:sz w:val="21"/>
          <w:szCs w:val="21"/>
        </w:rPr>
      </w:pPr>
      <w:r>
        <w:rPr>
          <w:rFonts w:hint="eastAsia" w:ascii="Times New Roman" w:hAnsi="Times New Roman" w:cs="Times New Roman"/>
          <w:sz w:val="21"/>
          <w:szCs w:val="21"/>
        </w:rPr>
        <w:t>※以上数据来源：表</w:t>
      </w:r>
      <w:r>
        <w:rPr>
          <w:rFonts w:hint="default" w:ascii="Times New Roman" w:hAnsi="Times New Roman" w:cs="Times New Roman"/>
          <w:sz w:val="21"/>
          <w:szCs w:val="21"/>
        </w:rPr>
        <w:t xml:space="preserve"> 5-2</w:t>
      </w:r>
      <w:r>
        <w:rPr>
          <w:rFonts w:hint="eastAsia" w:ascii="Times New Roman" w:hAnsi="Times New Roman" w:cs="Times New Roman"/>
          <w:sz w:val="21"/>
          <w:szCs w:val="21"/>
        </w:rPr>
        <w:t>学生毕业综合训练情况</w:t>
      </w:r>
    </w:p>
    <w:p>
      <w:pPr>
        <w:pStyle w:val="4"/>
        <w:rPr>
          <w:rFonts w:hint="eastAsia" w:ascii="宋体" w:hAnsi="宋体" w:eastAsia="宋体"/>
          <w:b/>
          <w:bCs/>
          <w:sz w:val="24"/>
          <w:szCs w:val="24"/>
        </w:rPr>
      </w:pPr>
      <w:bookmarkStart w:id="54" w:name="_Toc31804"/>
      <w:r>
        <w:rPr>
          <w:rFonts w:hint="eastAsia" w:ascii="宋体" w:hAnsi="宋体" w:eastAsia="宋体"/>
          <w:b/>
          <w:bCs/>
          <w:sz w:val="24"/>
          <w:szCs w:val="24"/>
        </w:rPr>
        <w:t>3.10教学改革</w:t>
      </w:r>
      <w:bookmarkEnd w:id="54"/>
    </w:p>
    <w:p>
      <w:pPr>
        <w:spacing w:line="360" w:lineRule="auto"/>
        <w:ind w:firstLine="480" w:firstLineChars="200"/>
        <w:jc w:val="both"/>
        <w:rPr>
          <w:rFonts w:hint="default" w:ascii="Times New Roman" w:hAnsi="Times New Roman" w:eastAsia="宋体" w:cs="Times New Roman"/>
          <w:szCs w:val="28"/>
          <w:highlight w:val="none"/>
          <w:lang w:val="en-US" w:eastAsia="zh-CN"/>
        </w:rPr>
      </w:pPr>
      <w:r>
        <w:rPr>
          <w:rFonts w:hint="default" w:ascii="Times New Roman" w:hAnsi="Times New Roman" w:eastAsia="宋体" w:cs="Times New Roman"/>
          <w:szCs w:val="28"/>
          <w:highlight w:val="none"/>
          <w:lang w:val="en-US" w:eastAsia="zh-CN"/>
        </w:rPr>
        <w:t>专业教师教学改革参与率为100%；</w:t>
      </w:r>
      <w:r>
        <w:rPr>
          <w:rFonts w:hint="eastAsia" w:ascii="Times New Roman" w:hAnsi="Times New Roman"/>
          <w:kern w:val="0"/>
          <w:sz w:val="24"/>
          <w:lang w:val="en-US" w:eastAsia="zh-CN"/>
        </w:rPr>
        <w:t>《创业学》、《</w:t>
      </w:r>
      <w:r>
        <w:rPr>
          <w:rFonts w:ascii="Times New Roman" w:hAnsi="Times New Roman"/>
        </w:rPr>
        <w:t>市场调研与市场预测实习</w:t>
      </w:r>
      <w:r>
        <w:rPr>
          <w:rFonts w:hint="eastAsia" w:ascii="Times New Roman" w:hAnsi="Times New Roman"/>
          <w:kern w:val="0"/>
          <w:sz w:val="24"/>
          <w:lang w:val="en-US" w:eastAsia="zh-CN"/>
        </w:rPr>
        <w:t>》、《商务谈判》以及</w:t>
      </w:r>
      <w:r>
        <w:rPr>
          <w:rFonts w:hint="default" w:ascii="Times New Roman" w:hAnsi="Times New Roman" w:cs="Times New Roman"/>
          <w:szCs w:val="28"/>
          <w:highlight w:val="none"/>
          <w:lang w:val="en-US" w:eastAsia="zh-CN"/>
        </w:rPr>
        <w:t>《市场营销学》</w:t>
      </w:r>
      <w:r>
        <w:rPr>
          <w:rFonts w:hint="eastAsia" w:ascii="Times New Roman" w:hAnsi="Times New Roman" w:cs="Times New Roman"/>
          <w:szCs w:val="28"/>
          <w:highlight w:val="none"/>
          <w:lang w:val="en-US" w:eastAsia="zh-CN"/>
        </w:rPr>
        <w:t>课程分别</w:t>
      </w:r>
      <w:r>
        <w:rPr>
          <w:rFonts w:hint="default" w:ascii="Times New Roman" w:hAnsi="Times New Roman" w:cs="Times New Roman"/>
          <w:szCs w:val="28"/>
          <w:highlight w:val="none"/>
          <w:lang w:val="en-US" w:eastAsia="zh-CN"/>
        </w:rPr>
        <w:t>获</w:t>
      </w:r>
      <w:r>
        <w:rPr>
          <w:rFonts w:hint="default" w:ascii="Times New Roman" w:hAnsi="Times New Roman" w:eastAsia="宋体" w:cs="Times New Roman"/>
          <w:szCs w:val="28"/>
          <w:highlight w:val="none"/>
          <w:lang w:val="en-US" w:eastAsia="zh-CN"/>
        </w:rPr>
        <w:t>批立项各类</w:t>
      </w:r>
      <w:r>
        <w:rPr>
          <w:rFonts w:hint="eastAsia" w:ascii="Times New Roman" w:hAnsi="Times New Roman" w:eastAsia="宋体" w:cs="Times New Roman"/>
          <w:szCs w:val="28"/>
          <w:highlight w:val="none"/>
          <w:lang w:val="en-US" w:eastAsia="zh-CN"/>
        </w:rPr>
        <w:t>课</w:t>
      </w:r>
      <w:r>
        <w:rPr>
          <w:rFonts w:hint="eastAsia" w:ascii="Times New Roman" w:hAnsi="Times New Roman"/>
          <w:kern w:val="0"/>
          <w:sz w:val="24"/>
          <w:lang w:val="en-US" w:eastAsia="zh-CN"/>
        </w:rPr>
        <w:t>程建设</w:t>
      </w:r>
      <w:r>
        <w:rPr>
          <w:rFonts w:hint="eastAsia" w:ascii="Times New Roman" w:hAnsi="Times New Roman" w:eastAsia="宋体" w:cs="Times New Roman"/>
          <w:szCs w:val="28"/>
          <w:highlight w:val="none"/>
          <w:lang w:val="en-US" w:eastAsia="zh-CN"/>
        </w:rPr>
        <w:t>项目</w:t>
      </w:r>
      <w:r>
        <w:rPr>
          <w:rFonts w:hint="default" w:ascii="Times New Roman" w:hAnsi="Times New Roman" w:eastAsia="宋体" w:cs="Times New Roman"/>
          <w:szCs w:val="28"/>
          <w:highlight w:val="none"/>
          <w:lang w:val="en-US" w:eastAsia="zh-CN"/>
        </w:rPr>
        <w:t>；市场营销专业</w:t>
      </w:r>
      <w:r>
        <w:rPr>
          <w:rFonts w:hint="eastAsia" w:ascii="Times New Roman" w:hAnsi="Times New Roman" w:eastAsia="宋体" w:cs="Times New Roman"/>
          <w:szCs w:val="28"/>
          <w:highlight w:val="none"/>
          <w:lang w:val="en-US" w:eastAsia="zh-CN"/>
        </w:rPr>
        <w:t>虚拟教研室获批校级虚拟教研室</w:t>
      </w:r>
      <w:r>
        <w:rPr>
          <w:rFonts w:hint="default" w:ascii="Times New Roman" w:hAnsi="Times New Roman" w:eastAsia="宋体" w:cs="Times New Roman"/>
          <w:szCs w:val="28"/>
          <w:highlight w:val="none"/>
          <w:lang w:val="en-US" w:eastAsia="zh-CN"/>
        </w:rPr>
        <w:t>建设项目；《市场营销学》获批校</w:t>
      </w:r>
      <w:r>
        <w:rPr>
          <w:rFonts w:hint="eastAsia" w:ascii="Times New Roman" w:hAnsi="Times New Roman" w:eastAsia="宋体" w:cs="Times New Roman"/>
          <w:szCs w:val="28"/>
          <w:highlight w:val="none"/>
          <w:lang w:val="en-US" w:eastAsia="zh-CN"/>
        </w:rPr>
        <w:t>“企业专家进课堂”</w:t>
      </w:r>
      <w:r>
        <w:rPr>
          <w:rFonts w:hint="default" w:ascii="Times New Roman" w:hAnsi="Times New Roman" w:eastAsia="宋体" w:cs="Times New Roman"/>
          <w:szCs w:val="28"/>
          <w:highlight w:val="none"/>
          <w:lang w:val="en-US" w:eastAsia="zh-CN"/>
        </w:rPr>
        <w:t>活动资助；结合</w:t>
      </w:r>
      <w:r>
        <w:rPr>
          <w:rFonts w:hint="eastAsia" w:ascii="Times New Roman" w:hAnsi="Times New Roman" w:eastAsia="宋体" w:cs="Times New Roman"/>
          <w:szCs w:val="28"/>
          <w:highlight w:val="none"/>
          <w:lang w:val="en-US" w:eastAsia="zh-CN"/>
        </w:rPr>
        <w:t>数智时代的要求和背景</w:t>
      </w:r>
      <w:r>
        <w:rPr>
          <w:rFonts w:hint="default" w:ascii="Times New Roman" w:hAnsi="Times New Roman" w:eastAsia="宋体" w:cs="Times New Roman"/>
          <w:szCs w:val="28"/>
          <w:highlight w:val="none"/>
          <w:lang w:val="en-US" w:eastAsia="zh-CN"/>
        </w:rPr>
        <w:t>，</w:t>
      </w:r>
      <w:r>
        <w:rPr>
          <w:rFonts w:hint="eastAsia" w:ascii="Times New Roman" w:hAnsi="Times New Roman" w:eastAsia="宋体" w:cs="Times New Roman"/>
          <w:szCs w:val="28"/>
          <w:highlight w:val="none"/>
          <w:lang w:val="en-US" w:eastAsia="zh-CN"/>
        </w:rPr>
        <w:t>思考专业发展方向，</w:t>
      </w:r>
      <w:r>
        <w:rPr>
          <w:rFonts w:hint="eastAsia" w:ascii="Times New Roman" w:hAnsi="Times New Roman" w:cs="Times New Roman"/>
          <w:szCs w:val="28"/>
          <w:highlight w:val="none"/>
          <w:lang w:val="en-US" w:eastAsia="zh-CN"/>
        </w:rPr>
        <w:t>撰写</w:t>
      </w:r>
      <w:r>
        <w:rPr>
          <w:rFonts w:hint="default" w:ascii="Times New Roman" w:hAnsi="Times New Roman" w:eastAsia="宋体" w:cs="Times New Roman"/>
          <w:szCs w:val="28"/>
          <w:highlight w:val="none"/>
          <w:lang w:val="en-US" w:eastAsia="zh-CN"/>
        </w:rPr>
        <w:t>发表相关教研论文</w:t>
      </w:r>
      <w:r>
        <w:rPr>
          <w:rFonts w:hint="eastAsia" w:ascii="Times New Roman" w:hAnsi="Times New Roman" w:cs="Times New Roman"/>
          <w:szCs w:val="28"/>
          <w:highlight w:val="none"/>
          <w:lang w:val="en-US" w:eastAsia="zh-CN"/>
        </w:rPr>
        <w:t>，提升专业建设质量，优化人才培养模式</w:t>
      </w:r>
      <w:r>
        <w:rPr>
          <w:rFonts w:hint="default" w:ascii="Times New Roman" w:hAnsi="Times New Roman" w:eastAsia="宋体" w:cs="Times New Roman"/>
          <w:szCs w:val="28"/>
          <w:highlight w:val="none"/>
          <w:lang w:val="en-US" w:eastAsia="zh-CN"/>
        </w:rPr>
        <w:t>。</w:t>
      </w:r>
    </w:p>
    <w:p>
      <w:pPr>
        <w:spacing w:line="360" w:lineRule="auto"/>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表13 专业教师发表的部分教改论文</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5"/>
        <w:gridCol w:w="4323"/>
        <w:gridCol w:w="1747"/>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313" w:type="pct"/>
            <w:shd w:val="clear" w:color="auto" w:fill="auto"/>
            <w:noWrap/>
            <w:vAlign w:val="center"/>
          </w:tcPr>
          <w:p>
            <w:pPr>
              <w:widowControl/>
              <w:adjustRightInd w:val="0"/>
              <w:snapToGrid w:val="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序号</w:t>
            </w:r>
          </w:p>
        </w:tc>
        <w:tc>
          <w:tcPr>
            <w:tcW w:w="2536" w:type="pct"/>
            <w:shd w:val="clear" w:color="auto" w:fill="auto"/>
            <w:noWrap/>
            <w:vAlign w:val="center"/>
          </w:tcPr>
          <w:p>
            <w:pPr>
              <w:widowControl/>
              <w:adjustRightInd w:val="0"/>
              <w:snapToGrid w:val="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论文题目</w:t>
            </w:r>
          </w:p>
        </w:tc>
        <w:tc>
          <w:tcPr>
            <w:tcW w:w="1024" w:type="pct"/>
            <w:shd w:val="clear" w:color="auto" w:fill="auto"/>
            <w:noWrap/>
            <w:vAlign w:val="center"/>
          </w:tcPr>
          <w:p>
            <w:pPr>
              <w:widowControl/>
              <w:adjustRightInd w:val="0"/>
              <w:snapToGrid w:val="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作者</w:t>
            </w:r>
          </w:p>
        </w:tc>
        <w:tc>
          <w:tcPr>
            <w:tcW w:w="1124" w:type="pct"/>
            <w:shd w:val="clear" w:color="auto" w:fill="auto"/>
            <w:noWrap/>
            <w:vAlign w:val="center"/>
          </w:tcPr>
          <w:p>
            <w:pPr>
              <w:widowControl/>
              <w:adjustRightInd w:val="0"/>
              <w:snapToGrid w:val="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发表刊物/论文集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3" w:type="pct"/>
            <w:shd w:val="clear" w:color="auto" w:fill="auto"/>
            <w:noWrap/>
            <w:vAlign w:val="center"/>
          </w:tcPr>
          <w:p>
            <w:pPr>
              <w:widowControl/>
              <w:adjustRightInd w:val="0"/>
              <w:snapToGrid w:val="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1</w:t>
            </w:r>
          </w:p>
        </w:tc>
        <w:tc>
          <w:tcPr>
            <w:tcW w:w="2536" w:type="pct"/>
            <w:shd w:val="clear" w:color="auto" w:fill="auto"/>
            <w:noWrap/>
            <w:vAlign w:val="center"/>
          </w:tcPr>
          <w:p>
            <w:pPr>
              <w:widowControl/>
              <w:shd w:val="clear" w:color="auto" w:fill="FFFFFF"/>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eastAsia="宋体" w:cs="Times New Roman"/>
                <w:sz w:val="21"/>
                <w:szCs w:val="21"/>
                <w:highlight w:val="none"/>
                <w:lang w:val="en-US" w:eastAsia="zh-CN"/>
              </w:rPr>
              <w:t>市场调研与市场预测实习课程教学探究</w:t>
            </w:r>
          </w:p>
        </w:tc>
        <w:tc>
          <w:tcPr>
            <w:tcW w:w="1024"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刘尊礼，朱强</w:t>
            </w:r>
          </w:p>
        </w:tc>
        <w:tc>
          <w:tcPr>
            <w:tcW w:w="1124" w:type="pct"/>
            <w:shd w:val="clear" w:color="auto" w:fill="auto"/>
            <w:noWrap/>
            <w:vAlign w:val="center"/>
          </w:tcPr>
          <w:p>
            <w:pPr>
              <w:autoSpaceDE w:val="0"/>
              <w:autoSpaceDN w:val="0"/>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西部素质教育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313" w:type="pct"/>
            <w:shd w:val="clear" w:color="auto" w:fill="auto"/>
            <w:noWrap/>
            <w:vAlign w:val="center"/>
          </w:tcPr>
          <w:p>
            <w:pPr>
              <w:widowControl/>
              <w:adjustRightInd w:val="0"/>
              <w:snapToGrid w:val="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2</w:t>
            </w:r>
          </w:p>
        </w:tc>
        <w:tc>
          <w:tcPr>
            <w:tcW w:w="2536"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highlight w:val="none"/>
                <w:lang w:val="en-US" w:eastAsia="zh-CN"/>
              </w:rPr>
              <w:t>数字经济背景下市场营销专业人才培养模式的创新实践——以上海工程技术大学为例</w:t>
            </w:r>
          </w:p>
        </w:tc>
        <w:tc>
          <w:tcPr>
            <w:tcW w:w="1024"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田雪莹，王静，李义敏，刘尊礼，朱强</w:t>
            </w:r>
          </w:p>
        </w:tc>
        <w:tc>
          <w:tcPr>
            <w:tcW w:w="1124" w:type="pct"/>
            <w:shd w:val="clear" w:color="auto" w:fill="auto"/>
            <w:noWrap/>
            <w:vAlign w:val="center"/>
          </w:tcPr>
          <w:p>
            <w:pPr>
              <w:autoSpaceDE w:val="0"/>
              <w:autoSpaceDN w:val="0"/>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创新创业理论研究与实践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313" w:type="pct"/>
            <w:shd w:val="clear" w:color="auto" w:fill="auto"/>
            <w:noWrap/>
            <w:vAlign w:val="center"/>
          </w:tcPr>
          <w:p>
            <w:pPr>
              <w:widowControl/>
              <w:adjustRightInd w:val="0"/>
              <w:snapToGrid w:val="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3</w:t>
            </w:r>
          </w:p>
        </w:tc>
        <w:tc>
          <w:tcPr>
            <w:tcW w:w="2536"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rPr>
            </w:pPr>
            <w:r>
              <w:rPr>
                <w:rFonts w:hint="eastAsia" w:ascii="Times New Roman" w:hAnsi="Times New Roman" w:cs="Times New Roman"/>
                <w:sz w:val="21"/>
                <w:szCs w:val="21"/>
                <w:highlight w:val="none"/>
                <w:lang w:val="en-US" w:eastAsia="zh-CN"/>
              </w:rPr>
              <w:t>新时代“两性一度”目标下经管类课程的改革创新探索——以《服务营销》课程为例</w:t>
            </w:r>
          </w:p>
        </w:tc>
        <w:tc>
          <w:tcPr>
            <w:tcW w:w="1024"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王静，李义敏，朱強</w:t>
            </w:r>
          </w:p>
        </w:tc>
        <w:tc>
          <w:tcPr>
            <w:tcW w:w="1124" w:type="pct"/>
            <w:shd w:val="clear" w:color="auto" w:fill="auto"/>
            <w:noWrap/>
            <w:vAlign w:val="center"/>
          </w:tcPr>
          <w:p>
            <w:pPr>
              <w:autoSpaceDE w:val="0"/>
              <w:autoSpaceDN w:val="0"/>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教育科学</w:t>
            </w:r>
          </w:p>
        </w:tc>
      </w:tr>
    </w:tbl>
    <w:p>
      <w:pPr>
        <w:spacing w:line="360" w:lineRule="auto"/>
        <w:ind w:firstLine="480" w:firstLineChars="200"/>
        <w:jc w:val="both"/>
        <w:rPr>
          <w:rFonts w:hint="default" w:ascii="Times New Roman" w:hAnsi="Times New Roman" w:cs="Times New Roman"/>
          <w:szCs w:val="28"/>
          <w:highlight w:val="none"/>
          <w:lang w:val="en-US" w:eastAsia="zh-CN"/>
        </w:rPr>
      </w:pPr>
    </w:p>
    <w:p>
      <w:pPr>
        <w:pStyle w:val="3"/>
        <w:pageBreakBefore/>
        <w:spacing w:after="120" w:line="415" w:lineRule="auto"/>
        <w:jc w:val="left"/>
        <w:rPr>
          <w:rFonts w:hint="eastAsia" w:ascii="宋体" w:hAnsi="宋体"/>
          <w:sz w:val="28"/>
          <w:szCs w:val="28"/>
        </w:rPr>
      </w:pPr>
      <w:bookmarkStart w:id="55" w:name="_Toc794"/>
      <w:r>
        <w:rPr>
          <w:rFonts w:hint="eastAsia" w:ascii="宋体" w:hAnsi="宋体"/>
          <w:sz w:val="28"/>
          <w:szCs w:val="28"/>
        </w:rPr>
        <w:t>4.教师队伍</w:t>
      </w:r>
      <w:bookmarkEnd w:id="55"/>
      <w:r>
        <w:rPr>
          <w:rFonts w:hint="eastAsia" w:ascii="宋体" w:hAnsi="宋体"/>
          <w:sz w:val="28"/>
          <w:szCs w:val="28"/>
        </w:rPr>
        <w:t xml:space="preserve"> </w:t>
      </w:r>
    </w:p>
    <w:p>
      <w:pPr>
        <w:pStyle w:val="4"/>
        <w:rPr>
          <w:rFonts w:hint="eastAsia" w:ascii="宋体" w:hAnsi="宋体" w:eastAsia="宋体"/>
          <w:b/>
          <w:bCs/>
          <w:sz w:val="24"/>
          <w:szCs w:val="24"/>
        </w:rPr>
      </w:pPr>
      <w:bookmarkStart w:id="56" w:name="_Toc15391"/>
      <w:r>
        <w:rPr>
          <w:rFonts w:hint="eastAsia" w:ascii="宋体" w:hAnsi="宋体" w:eastAsia="宋体"/>
          <w:b/>
          <w:bCs/>
          <w:sz w:val="24"/>
          <w:szCs w:val="24"/>
        </w:rPr>
        <w:t>4.1专业教师数量与结构</w:t>
      </w:r>
      <w:bookmarkEnd w:id="56"/>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4.1.1专业教师数量</w:t>
      </w:r>
    </w:p>
    <w:p>
      <w:pPr>
        <w:spacing w:line="360" w:lineRule="auto"/>
        <w:ind w:firstLine="480" w:firstLineChars="200"/>
        <w:jc w:val="both"/>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专业教师共10人，其中近五年新增教师2人，占比20%，双师双能型教师数量为9人，占比90%，具有行业企业背景教师数量为5人，占比50%，高级职称教师4人，占比40%，学年内承担专业课教学的本专业教师数量为10人，占比100%。</w:t>
      </w:r>
    </w:p>
    <w:p>
      <w:pPr>
        <w:jc w:val="center"/>
        <w:rPr>
          <w:rFonts w:hint="default"/>
          <w:lang w:val="en-US"/>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14</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教师数量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1843"/>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184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c>
          <w:tcPr>
            <w:tcW w:w="16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专业教师总数</w:t>
            </w:r>
          </w:p>
        </w:tc>
        <w:tc>
          <w:tcPr>
            <w:tcW w:w="184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bookmarkStart w:id="57" w:name="OLE_LINK1"/>
            <w:bookmarkEnd w:id="57"/>
          </w:p>
        </w:tc>
        <w:tc>
          <w:tcPr>
            <w:tcW w:w="16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其中：</w:t>
            </w:r>
            <w:bookmarkStart w:id="58" w:name="OLE_LINK26"/>
            <w:r>
              <w:rPr>
                <w:rFonts w:hint="default" w:ascii="Times New Roman" w:hAnsi="Times New Roman" w:cs="Times New Roman"/>
                <w:sz w:val="21"/>
                <w:szCs w:val="21"/>
              </w:rPr>
              <w:t>近五年新增教师</w:t>
            </w:r>
            <w:bookmarkEnd w:id="58"/>
          </w:p>
        </w:tc>
        <w:tc>
          <w:tcPr>
            <w:tcW w:w="184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bookmarkStart w:id="59" w:name="OLE_LINK23"/>
            <w:bookmarkEnd w:id="59"/>
          </w:p>
        </w:tc>
        <w:tc>
          <w:tcPr>
            <w:tcW w:w="16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双师双能型教师</w:t>
            </w:r>
          </w:p>
        </w:tc>
        <w:tc>
          <w:tcPr>
            <w:tcW w:w="184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16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具有行业企业背景</w:t>
            </w:r>
          </w:p>
        </w:tc>
        <w:tc>
          <w:tcPr>
            <w:tcW w:w="184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6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高级职称教师数量</w:t>
            </w:r>
          </w:p>
        </w:tc>
        <w:tc>
          <w:tcPr>
            <w:tcW w:w="184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6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学年内承担专业课教学的本专业教师数</w:t>
            </w:r>
          </w:p>
        </w:tc>
        <w:tc>
          <w:tcPr>
            <w:tcW w:w="184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bookmarkStart w:id="60" w:name="OLE_LINK24"/>
            <w:bookmarkEnd w:id="60"/>
          </w:p>
        </w:tc>
        <w:tc>
          <w:tcPr>
            <w:tcW w:w="16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2"/>
              </w:rPr>
              <w:t>教授数量</w:t>
            </w:r>
          </w:p>
        </w:tc>
        <w:tc>
          <w:tcPr>
            <w:tcW w:w="184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bookmarkStart w:id="61" w:name="OLE_LINK25"/>
            <w:bookmarkEnd w:id="61"/>
          </w:p>
        </w:tc>
        <w:tc>
          <w:tcPr>
            <w:tcW w:w="16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学年内承担专业课课程的教授数量</w:t>
            </w:r>
          </w:p>
        </w:tc>
        <w:tc>
          <w:tcPr>
            <w:tcW w:w="184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6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学年内</w:t>
            </w:r>
            <w:r>
              <w:rPr>
                <w:rFonts w:hint="default" w:ascii="Times New Roman" w:hAnsi="Times New Roman" w:cs="Times New Roman"/>
                <w:sz w:val="21"/>
                <w:szCs w:val="22"/>
              </w:rPr>
              <w:t>低年级授课教授数量</w:t>
            </w:r>
          </w:p>
        </w:tc>
        <w:tc>
          <w:tcPr>
            <w:tcW w:w="184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bookmarkStart w:id="62" w:name="OLE_LINK22"/>
            <w:bookmarkEnd w:id="62"/>
          </w:p>
        </w:tc>
        <w:tc>
          <w:tcPr>
            <w:tcW w:w="16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bl>
    <w:p>
      <w:pPr>
        <w:rPr>
          <w:sz w:val="21"/>
          <w:szCs w:val="21"/>
        </w:rPr>
      </w:pPr>
      <w:r>
        <w:rPr>
          <w:rFonts w:hint="eastAsia"/>
        </w:rPr>
        <w:t>*</w:t>
      </w:r>
      <w:r>
        <w:rPr>
          <w:rFonts w:hint="eastAsia"/>
          <w:sz w:val="21"/>
          <w:szCs w:val="21"/>
        </w:rPr>
        <w:t>学年内承担专业课课程的教授比例、学年内</w:t>
      </w:r>
      <w:r>
        <w:rPr>
          <w:rFonts w:hint="eastAsia"/>
          <w:sz w:val="21"/>
          <w:szCs w:val="22"/>
        </w:rPr>
        <w:t>低年级授课教授</w:t>
      </w:r>
      <w:r>
        <w:rPr>
          <w:rFonts w:hint="eastAsia"/>
          <w:sz w:val="21"/>
          <w:szCs w:val="21"/>
        </w:rPr>
        <w:t>比例 为占专业教授数量的比例。本表仅统计本专业教师。</w:t>
      </w:r>
    </w:p>
    <w:p/>
    <w:p>
      <w:pPr>
        <w:rPr>
          <w:rFonts w:hint="default" w:ascii="Times New Roman" w:hAnsi="Times New Roman" w:cs="Times New Roman"/>
          <w:sz w:val="21"/>
          <w:szCs w:val="21"/>
        </w:rPr>
      </w:pPr>
      <w:r>
        <w:rPr>
          <w:rFonts w:hint="eastAsia" w:ascii="Times New Roman" w:hAnsi="Times New Roman" w:cs="Times New Roman"/>
          <w:sz w:val="21"/>
          <w:szCs w:val="21"/>
        </w:rPr>
        <w:t>※</w:t>
      </w:r>
      <w:r>
        <w:rPr>
          <w:rFonts w:hint="default" w:ascii="Times New Roman" w:hAnsi="Times New Roman" w:cs="Times New Roman"/>
          <w:sz w:val="21"/>
          <w:szCs w:val="21"/>
        </w:rPr>
        <w:t>以上数据来源：表1-5-1教职工基本信息、表5-1-1开课情况、表5-1-2专业课教学实施情况。</w:t>
      </w: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4.1.2专业教师结构</w:t>
      </w:r>
    </w:p>
    <w:p>
      <w:pPr>
        <w:spacing w:line="360" w:lineRule="auto"/>
        <w:ind w:firstLine="480" w:firstLineChars="200"/>
        <w:jc w:val="both"/>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专业教师10人，教授1人，副教授3人，讲师6人；</w:t>
      </w:r>
      <w:r>
        <w:rPr>
          <w:rFonts w:hint="eastAsia" w:ascii="Times New Roman" w:hAnsi="Times New Roman" w:cs="Times New Roman"/>
          <w:szCs w:val="28"/>
          <w:lang w:val="en-US" w:eastAsia="zh-CN"/>
        </w:rPr>
        <w:t>有</w:t>
      </w:r>
      <w:r>
        <w:rPr>
          <w:rFonts w:hint="eastAsia" w:ascii="Times New Roman" w:hAnsi="Times New Roman" w:eastAsia="宋体" w:cs="Times New Roman"/>
          <w:szCs w:val="28"/>
          <w:lang w:val="en-US" w:eastAsia="zh-CN"/>
        </w:rPr>
        <w:t>博士</w:t>
      </w:r>
      <w:r>
        <w:rPr>
          <w:rFonts w:hint="eastAsia" w:ascii="Times New Roman" w:hAnsi="Times New Roman" w:cs="Times New Roman"/>
          <w:szCs w:val="28"/>
          <w:lang w:val="en-US" w:eastAsia="zh-CN"/>
        </w:rPr>
        <w:t>学位的</w:t>
      </w:r>
      <w:r>
        <w:rPr>
          <w:rFonts w:hint="eastAsia" w:ascii="Times New Roman" w:hAnsi="Times New Roman" w:eastAsia="宋体" w:cs="Times New Roman"/>
          <w:szCs w:val="28"/>
          <w:lang w:val="en-US" w:eastAsia="zh-CN"/>
        </w:rPr>
        <w:t>教师8人，占比80%，</w:t>
      </w:r>
      <w:r>
        <w:rPr>
          <w:rFonts w:hint="eastAsia" w:ascii="Times New Roman" w:hAnsi="Times New Roman" w:cs="Times New Roman"/>
          <w:szCs w:val="28"/>
          <w:lang w:val="en-US" w:eastAsia="zh-CN"/>
        </w:rPr>
        <w:t>有</w:t>
      </w:r>
      <w:r>
        <w:rPr>
          <w:rFonts w:hint="eastAsia" w:ascii="Times New Roman" w:hAnsi="Times New Roman" w:eastAsia="宋体" w:cs="Times New Roman"/>
          <w:szCs w:val="28"/>
          <w:lang w:val="en-US" w:eastAsia="zh-CN"/>
        </w:rPr>
        <w:t>硕士</w:t>
      </w:r>
      <w:r>
        <w:rPr>
          <w:rFonts w:hint="eastAsia" w:ascii="Times New Roman" w:hAnsi="Times New Roman" w:cs="Times New Roman"/>
          <w:szCs w:val="28"/>
          <w:lang w:val="en-US" w:eastAsia="zh-CN"/>
        </w:rPr>
        <w:t>学位的</w:t>
      </w:r>
      <w:r>
        <w:rPr>
          <w:rFonts w:hint="eastAsia" w:ascii="Times New Roman" w:hAnsi="Times New Roman" w:eastAsia="宋体" w:cs="Times New Roman"/>
          <w:szCs w:val="28"/>
          <w:lang w:val="en-US" w:eastAsia="zh-CN"/>
        </w:rPr>
        <w:t>教师2人，占比20%；35岁及以下的教师1人，占比10%，36-45岁的教师7人，占比70%，46-55岁的教师2人，占比20%；学缘方面，本校教师1人，外校教师9人，其中外校教师均来自于境内。</w:t>
      </w:r>
    </w:p>
    <w:p>
      <w:pPr>
        <w:jc w:val="center"/>
        <w:rPr>
          <w:rFonts w:hint="default"/>
          <w:lang w:val="en-US"/>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15</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教师结构</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601"/>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8" w:type="dxa"/>
            <w:gridSpan w:val="3"/>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48" w:type="dxa"/>
            <w:gridSpan w:val="3"/>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专业教师总数</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职称</w:t>
            </w:r>
          </w:p>
        </w:tc>
        <w:tc>
          <w:tcPr>
            <w:tcW w:w="2877"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教授</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2877"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副教授</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2877"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讲师</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2877"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助教</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2877"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其他正高级</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2877"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其他副高级</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2877"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其他中级</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2877"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其他初级</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2877"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未评级</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restart"/>
            <w:vAlign w:val="center"/>
          </w:tcPr>
          <w:p>
            <w:pPr>
              <w:jc w:val="center"/>
              <w:rPr>
                <w:rFonts w:hint="default" w:ascii="Times New Roman" w:hAnsi="Times New Roman" w:cs="Times New Roman"/>
                <w:sz w:val="21"/>
                <w:szCs w:val="21"/>
              </w:rPr>
            </w:pPr>
            <w:bookmarkStart w:id="63" w:name="OLE_LINK30"/>
            <w:r>
              <w:rPr>
                <w:rFonts w:hint="default" w:ascii="Times New Roman" w:hAnsi="Times New Roman" w:cs="Times New Roman"/>
                <w:sz w:val="21"/>
                <w:szCs w:val="21"/>
              </w:rPr>
              <w:t>最高学位</w:t>
            </w:r>
            <w:bookmarkEnd w:id="63"/>
          </w:p>
        </w:tc>
        <w:tc>
          <w:tcPr>
            <w:tcW w:w="2877"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2"/>
              </w:rPr>
              <w:t>博士</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80</w:t>
            </w:r>
            <w:bookmarkStart w:id="64" w:name="OLE_LINK31"/>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2877"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2"/>
              </w:rPr>
              <w:t>硕士</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2877"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2"/>
              </w:rPr>
              <w:t>学士</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2877"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2"/>
              </w:rPr>
              <w:t>无学位</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年龄</w:t>
            </w:r>
          </w:p>
        </w:tc>
        <w:tc>
          <w:tcPr>
            <w:tcW w:w="2877" w:type="dxa"/>
            <w:gridSpan w:val="2"/>
            <w:vAlign w:val="center"/>
          </w:tcPr>
          <w:p>
            <w:pPr>
              <w:jc w:val="center"/>
              <w:rPr>
                <w:rFonts w:hint="default" w:ascii="Times New Roman" w:hAnsi="Times New Roman" w:cs="Times New Roman"/>
                <w:b w:val="0"/>
                <w:bCs w:val="0"/>
                <w:sz w:val="21"/>
                <w:szCs w:val="21"/>
              </w:rPr>
            </w:pPr>
            <w:r>
              <w:rPr>
                <w:rFonts w:hint="default" w:ascii="Times New Roman" w:hAnsi="Times New Roman" w:eastAsia="Times New Roman" w:cs="Times New Roman"/>
                <w:b w:val="0"/>
                <w:bCs w:val="0"/>
                <w:sz w:val="21"/>
                <w:szCs w:val="22"/>
              </w:rPr>
              <w:t>35</w:t>
            </w:r>
            <w:r>
              <w:rPr>
                <w:rFonts w:hint="default" w:ascii="Times New Roman" w:hAnsi="Times New Roman" w:cs="Times New Roman"/>
                <w:b w:val="0"/>
                <w:bCs w:val="0"/>
                <w:sz w:val="21"/>
                <w:szCs w:val="22"/>
              </w:rPr>
              <w:t>岁及以下</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2877" w:type="dxa"/>
            <w:gridSpan w:val="2"/>
            <w:vAlign w:val="center"/>
          </w:tcPr>
          <w:p>
            <w:pPr>
              <w:jc w:val="center"/>
              <w:rPr>
                <w:rFonts w:hint="default" w:ascii="Times New Roman" w:hAnsi="Times New Roman" w:cs="Times New Roman"/>
                <w:b w:val="0"/>
                <w:bCs w:val="0"/>
                <w:sz w:val="21"/>
                <w:szCs w:val="21"/>
              </w:rPr>
            </w:pPr>
            <w:r>
              <w:rPr>
                <w:rFonts w:hint="default" w:ascii="Times New Roman" w:hAnsi="Times New Roman" w:eastAsia="Times New Roman" w:cs="Times New Roman"/>
                <w:b w:val="0"/>
                <w:bCs w:val="0"/>
                <w:sz w:val="21"/>
                <w:szCs w:val="22"/>
              </w:rPr>
              <w:t>36-45</w:t>
            </w:r>
            <w:r>
              <w:rPr>
                <w:rFonts w:hint="default" w:ascii="Times New Roman" w:hAnsi="Times New Roman" w:cs="Times New Roman"/>
                <w:b w:val="0"/>
                <w:bCs w:val="0"/>
                <w:sz w:val="21"/>
                <w:szCs w:val="22"/>
              </w:rPr>
              <w:t>岁</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70</w:t>
            </w:r>
            <w:bookmarkStart w:id="65" w:name="OLE_LINK32"/>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2877" w:type="dxa"/>
            <w:gridSpan w:val="2"/>
            <w:vAlign w:val="center"/>
          </w:tcPr>
          <w:p>
            <w:pPr>
              <w:jc w:val="center"/>
              <w:rPr>
                <w:rFonts w:hint="default" w:ascii="Times New Roman" w:hAnsi="Times New Roman" w:cs="Times New Roman"/>
                <w:b w:val="0"/>
                <w:bCs w:val="0"/>
                <w:sz w:val="21"/>
                <w:szCs w:val="21"/>
              </w:rPr>
            </w:pPr>
            <w:r>
              <w:rPr>
                <w:rFonts w:hint="default" w:ascii="Times New Roman" w:hAnsi="Times New Roman" w:eastAsia="Times New Roman" w:cs="Times New Roman"/>
                <w:b w:val="0"/>
                <w:bCs w:val="0"/>
                <w:sz w:val="21"/>
                <w:szCs w:val="22"/>
              </w:rPr>
              <w:t>46-55</w:t>
            </w:r>
            <w:r>
              <w:rPr>
                <w:rFonts w:hint="default" w:ascii="Times New Roman" w:hAnsi="Times New Roman" w:cs="Times New Roman"/>
                <w:b w:val="0"/>
                <w:bCs w:val="0"/>
                <w:sz w:val="21"/>
                <w:szCs w:val="22"/>
              </w:rPr>
              <w:t>岁</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2877" w:type="dxa"/>
            <w:gridSpan w:val="2"/>
            <w:vAlign w:val="center"/>
          </w:tcPr>
          <w:p>
            <w:pPr>
              <w:jc w:val="center"/>
              <w:rPr>
                <w:rFonts w:hint="default" w:ascii="Times New Roman" w:hAnsi="Times New Roman" w:cs="Times New Roman"/>
                <w:b w:val="0"/>
                <w:bCs w:val="0"/>
                <w:sz w:val="21"/>
                <w:szCs w:val="21"/>
              </w:rPr>
            </w:pPr>
            <w:r>
              <w:rPr>
                <w:rFonts w:hint="default" w:ascii="Times New Roman" w:hAnsi="Times New Roman" w:eastAsia="Times New Roman" w:cs="Times New Roman"/>
                <w:b w:val="0"/>
                <w:bCs w:val="0"/>
                <w:sz w:val="21"/>
                <w:szCs w:val="22"/>
              </w:rPr>
              <w:t>56</w:t>
            </w:r>
            <w:r>
              <w:rPr>
                <w:rFonts w:hint="default" w:ascii="Times New Roman" w:hAnsi="Times New Roman" w:cs="Times New Roman"/>
                <w:b w:val="0"/>
                <w:bCs w:val="0"/>
                <w:sz w:val="21"/>
                <w:szCs w:val="22"/>
              </w:rPr>
              <w:t>岁及以上</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学缘</w:t>
            </w:r>
          </w:p>
        </w:tc>
        <w:tc>
          <w:tcPr>
            <w:tcW w:w="2877" w:type="dxa"/>
            <w:gridSpan w:val="2"/>
            <w:vAlign w:val="center"/>
          </w:tcPr>
          <w:p>
            <w:pPr>
              <w:jc w:val="center"/>
              <w:rPr>
                <w:rFonts w:hint="default" w:ascii="Times New Roman" w:hAnsi="Times New Roman" w:cs="Times New Roman"/>
                <w:sz w:val="21"/>
                <w:szCs w:val="21"/>
              </w:rPr>
            </w:pPr>
            <w:bookmarkStart w:id="66" w:name="OLE_LINK27"/>
            <w:r>
              <w:rPr>
                <w:rFonts w:hint="default" w:ascii="Times New Roman" w:hAnsi="Times New Roman" w:cs="Times New Roman"/>
                <w:sz w:val="21"/>
                <w:szCs w:val="22"/>
              </w:rPr>
              <w:t>本校</w:t>
            </w:r>
            <w:bookmarkEnd w:id="66"/>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bookmarkStart w:id="67" w:name="OLE_LINK29"/>
            <w:bookmarkEnd w:id="67"/>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1276" w:type="dxa"/>
            <w:vMerge w:val="restart"/>
            <w:vAlign w:val="center"/>
          </w:tcPr>
          <w:p>
            <w:pPr>
              <w:jc w:val="center"/>
              <w:rPr>
                <w:rFonts w:hint="default" w:ascii="Times New Roman" w:hAnsi="Times New Roman" w:cs="Times New Roman"/>
                <w:sz w:val="21"/>
                <w:szCs w:val="21"/>
              </w:rPr>
            </w:pPr>
            <w:bookmarkStart w:id="68" w:name="OLE_LINK28"/>
            <w:r>
              <w:rPr>
                <w:rFonts w:hint="default" w:ascii="Times New Roman" w:hAnsi="Times New Roman" w:cs="Times New Roman"/>
                <w:sz w:val="21"/>
                <w:szCs w:val="22"/>
              </w:rPr>
              <w:t>外校</w:t>
            </w:r>
            <w:bookmarkEnd w:id="68"/>
          </w:p>
        </w:tc>
        <w:tc>
          <w:tcPr>
            <w:tcW w:w="160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2"/>
              </w:rPr>
              <w:t>境内</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Merge w:val="continue"/>
            <w:vAlign w:val="center"/>
          </w:tcPr>
          <w:p>
            <w:pPr>
              <w:jc w:val="center"/>
              <w:rPr>
                <w:rFonts w:hint="default" w:ascii="Times New Roman" w:hAnsi="Times New Roman" w:cs="Times New Roman"/>
                <w:sz w:val="21"/>
                <w:szCs w:val="21"/>
              </w:rPr>
            </w:pPr>
          </w:p>
        </w:tc>
        <w:tc>
          <w:tcPr>
            <w:tcW w:w="1276" w:type="dxa"/>
            <w:vMerge w:val="continue"/>
            <w:vAlign w:val="center"/>
          </w:tcPr>
          <w:p>
            <w:pPr>
              <w:jc w:val="center"/>
              <w:rPr>
                <w:rFonts w:hint="default" w:ascii="Times New Roman" w:hAnsi="Times New Roman" w:cs="Times New Roman"/>
                <w:sz w:val="21"/>
                <w:szCs w:val="21"/>
              </w:rPr>
            </w:pPr>
          </w:p>
        </w:tc>
        <w:tc>
          <w:tcPr>
            <w:tcW w:w="160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2"/>
              </w:rPr>
              <w:t>境外</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bl>
    <w:p>
      <w:pPr>
        <w:pStyle w:val="4"/>
        <w:rPr>
          <w:rFonts w:hint="eastAsia" w:ascii="宋体" w:hAnsi="宋体" w:eastAsia="宋体"/>
          <w:b/>
          <w:bCs/>
          <w:sz w:val="24"/>
          <w:szCs w:val="24"/>
        </w:rPr>
      </w:pPr>
      <w:bookmarkStart w:id="69" w:name="_Toc6946"/>
      <w:r>
        <w:rPr>
          <w:rFonts w:hint="eastAsia" w:ascii="宋体" w:hAnsi="宋体" w:eastAsia="宋体"/>
          <w:b/>
          <w:bCs/>
          <w:sz w:val="24"/>
          <w:szCs w:val="24"/>
        </w:rPr>
        <w:t>4.2授课师资分析</w:t>
      </w:r>
      <w:bookmarkEnd w:id="69"/>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4.2.1专业课校内授课教师职称情况分析</w:t>
      </w:r>
    </w:p>
    <w:p>
      <w:pPr>
        <w:spacing w:line="360" w:lineRule="auto"/>
        <w:ind w:firstLine="480" w:firstLineChars="200"/>
        <w:jc w:val="both"/>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专业课校内授课教师共108人，其中教授16人，占比14.81%，副教授为40人，占比37.04%，讲师44人，占比40.74%，其他1人，占比0.93%，其他中级数量为6人，占比5.56%；核心课校内授课教师共42人，其中教授8人，占比19.05%，副教授为14人，占比33.33%，讲师13人，占比30.95%，其他正高级和其他副高级均为1人，占比2.38%，其他中级、为5人，占比11.9%。</w:t>
      </w:r>
    </w:p>
    <w:p>
      <w:pPr>
        <w:jc w:val="center"/>
        <w:rPr>
          <w:rFonts w:hint="default"/>
          <w:lang w:val="en-US"/>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16</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校内授课教师职称分布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927"/>
        <w:gridCol w:w="1538"/>
        <w:gridCol w:w="1995"/>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2" w:space="0"/>
              <w:left w:val="single" w:color="000000" w:sz="4"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1927"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专业课授课教师</w:t>
            </w:r>
          </w:p>
        </w:tc>
        <w:tc>
          <w:tcPr>
            <w:tcW w:w="153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比例(%)</w:t>
            </w:r>
          </w:p>
        </w:tc>
        <w:tc>
          <w:tcPr>
            <w:tcW w:w="199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bookmarkStart w:id="70" w:name="OLE_LINK33"/>
            <w:r>
              <w:rPr>
                <w:rFonts w:hint="default" w:ascii="Times New Roman" w:hAnsi="Times New Roman" w:cs="Times New Roman"/>
                <w:sz w:val="21"/>
                <w:szCs w:val="21"/>
              </w:rPr>
              <w:t>核心课授课</w:t>
            </w:r>
            <w:bookmarkEnd w:id="70"/>
            <w:r>
              <w:rPr>
                <w:rFonts w:hint="default" w:ascii="Times New Roman" w:hAnsi="Times New Roman" w:cs="Times New Roman"/>
                <w:sz w:val="21"/>
                <w:szCs w:val="21"/>
              </w:rPr>
              <w:t>教师</w:t>
            </w:r>
          </w:p>
        </w:tc>
        <w:tc>
          <w:tcPr>
            <w:tcW w:w="1586"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总数</w:t>
            </w:r>
          </w:p>
        </w:tc>
        <w:tc>
          <w:tcPr>
            <w:tcW w:w="192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108</w:t>
            </w:r>
          </w:p>
        </w:tc>
        <w:tc>
          <w:tcPr>
            <w:tcW w:w="15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19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42</w:t>
            </w:r>
          </w:p>
        </w:tc>
        <w:tc>
          <w:tcPr>
            <w:tcW w:w="158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教授</w:t>
            </w:r>
          </w:p>
        </w:tc>
        <w:tc>
          <w:tcPr>
            <w:tcW w:w="192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15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14.81</w:t>
            </w:r>
          </w:p>
        </w:tc>
        <w:tc>
          <w:tcPr>
            <w:tcW w:w="19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158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副教授</w:t>
            </w:r>
          </w:p>
        </w:tc>
        <w:tc>
          <w:tcPr>
            <w:tcW w:w="192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40</w:t>
            </w:r>
          </w:p>
        </w:tc>
        <w:tc>
          <w:tcPr>
            <w:tcW w:w="15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37.04</w:t>
            </w:r>
          </w:p>
        </w:tc>
        <w:tc>
          <w:tcPr>
            <w:tcW w:w="19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158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33.33</w:t>
            </w:r>
            <w:bookmarkStart w:id="71" w:name="OLE_LINK34"/>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讲师</w:t>
            </w:r>
          </w:p>
        </w:tc>
        <w:tc>
          <w:tcPr>
            <w:tcW w:w="192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44</w:t>
            </w:r>
          </w:p>
        </w:tc>
        <w:tc>
          <w:tcPr>
            <w:tcW w:w="15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40.74</w:t>
            </w:r>
          </w:p>
        </w:tc>
        <w:tc>
          <w:tcPr>
            <w:tcW w:w="19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158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助教</w:t>
            </w:r>
          </w:p>
        </w:tc>
        <w:tc>
          <w:tcPr>
            <w:tcW w:w="192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5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9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58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其他正高级</w:t>
            </w:r>
          </w:p>
        </w:tc>
        <w:tc>
          <w:tcPr>
            <w:tcW w:w="192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5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0.93</w:t>
            </w:r>
          </w:p>
        </w:tc>
        <w:tc>
          <w:tcPr>
            <w:tcW w:w="19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58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其他副高级</w:t>
            </w:r>
          </w:p>
        </w:tc>
        <w:tc>
          <w:tcPr>
            <w:tcW w:w="192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5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0.93</w:t>
            </w:r>
          </w:p>
        </w:tc>
        <w:tc>
          <w:tcPr>
            <w:tcW w:w="19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58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其他中级</w:t>
            </w:r>
          </w:p>
        </w:tc>
        <w:tc>
          <w:tcPr>
            <w:tcW w:w="192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5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5.56</w:t>
            </w:r>
          </w:p>
        </w:tc>
        <w:tc>
          <w:tcPr>
            <w:tcW w:w="19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58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其他初级</w:t>
            </w:r>
          </w:p>
        </w:tc>
        <w:tc>
          <w:tcPr>
            <w:tcW w:w="192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5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9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58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未评级</w:t>
            </w:r>
          </w:p>
        </w:tc>
        <w:tc>
          <w:tcPr>
            <w:tcW w:w="192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53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9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58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bl>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4.2.2专业课校内授课教师最高学位情况分析</w:t>
      </w:r>
    </w:p>
    <w:p>
      <w:pPr>
        <w:spacing w:line="360" w:lineRule="auto"/>
        <w:ind w:firstLine="480" w:firstLineChars="200"/>
        <w:jc w:val="both"/>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专业课校内授课教师中最高学位为博士的为82人，占比75.93%，最高学位为硕士的为26人，占比24.07%；核心课校内授课教师共42人，其中最高学位为博士的为29人，占比69.05%，最高学位为硕士的为13人，占比30.95%</w:t>
      </w:r>
      <w:r>
        <w:rPr>
          <w:rFonts w:hint="eastAsia" w:ascii="Times New Roman" w:hAnsi="Times New Roman" w:cs="Times New Roman"/>
          <w:szCs w:val="28"/>
          <w:lang w:val="en-US" w:eastAsia="zh-CN"/>
        </w:rPr>
        <w:t>。</w:t>
      </w:r>
    </w:p>
    <w:p>
      <w:pPr>
        <w:jc w:val="center"/>
        <w:rPr>
          <w:rFonts w:hint="default"/>
          <w:lang w:val="en-US"/>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17</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校内授课教师学位分布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776"/>
        <w:gridCol w:w="1628"/>
        <w:gridCol w:w="2074"/>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000000" w:sz="2" w:space="0"/>
              <w:left w:val="single" w:color="000000" w:sz="4"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1776"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专业课授课教师</w:t>
            </w:r>
          </w:p>
        </w:tc>
        <w:tc>
          <w:tcPr>
            <w:tcW w:w="162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比例(%)</w:t>
            </w:r>
          </w:p>
        </w:tc>
        <w:tc>
          <w:tcPr>
            <w:tcW w:w="2074"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核心课授课教师</w:t>
            </w:r>
          </w:p>
        </w:tc>
        <w:tc>
          <w:tcPr>
            <w:tcW w:w="192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2"/>
              </w:rPr>
              <w:t>博士</w:t>
            </w:r>
          </w:p>
        </w:tc>
        <w:tc>
          <w:tcPr>
            <w:tcW w:w="177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82</w:t>
            </w:r>
          </w:p>
        </w:tc>
        <w:tc>
          <w:tcPr>
            <w:tcW w:w="162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75.93</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29</w:t>
            </w:r>
          </w:p>
        </w:tc>
        <w:tc>
          <w:tcPr>
            <w:tcW w:w="192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69.05</w:t>
            </w:r>
            <w:bookmarkStart w:id="72" w:name="OLE_LINK36"/>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2"/>
              </w:rPr>
              <w:t>硕士</w:t>
            </w:r>
          </w:p>
        </w:tc>
        <w:tc>
          <w:tcPr>
            <w:tcW w:w="177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26</w:t>
            </w:r>
          </w:p>
        </w:tc>
        <w:tc>
          <w:tcPr>
            <w:tcW w:w="162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24.07</w:t>
            </w:r>
            <w:bookmarkStart w:id="73" w:name="OLE_LINK35"/>
            <w:bookmarkEnd w:id="73"/>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192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30.95</w:t>
            </w:r>
            <w:bookmarkStart w:id="74" w:name="OLE_LINK37"/>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2"/>
              </w:rPr>
              <w:t>学士</w:t>
            </w:r>
          </w:p>
        </w:tc>
        <w:tc>
          <w:tcPr>
            <w:tcW w:w="177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62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92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2"/>
              </w:rPr>
              <w:t>无学位</w:t>
            </w:r>
          </w:p>
        </w:tc>
        <w:tc>
          <w:tcPr>
            <w:tcW w:w="177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62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0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92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bookmarkStart w:id="75" w:name="OLE_LINK38"/>
            <w:bookmarkEnd w:id="75"/>
          </w:p>
        </w:tc>
      </w:tr>
    </w:tbl>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4.2.3专业课校内授课教师</w:t>
      </w:r>
      <w:bookmarkStart w:id="76" w:name="OLE_LINK39"/>
      <w:r>
        <w:rPr>
          <w:rFonts w:ascii="宋体" w:hAnsi="宋体" w:eastAsia="宋体" w:cstheme="minorBidi"/>
          <w:b w:val="0"/>
          <w:bCs w:val="0"/>
          <w:kern w:val="2"/>
          <w:sz w:val="24"/>
          <w:szCs w:val="24"/>
        </w:rPr>
        <w:t>年龄</w:t>
      </w:r>
      <w:bookmarkEnd w:id="76"/>
      <w:r>
        <w:rPr>
          <w:rFonts w:ascii="宋体" w:hAnsi="宋体" w:eastAsia="宋体" w:cstheme="minorBidi"/>
          <w:b w:val="0"/>
          <w:bCs w:val="0"/>
          <w:kern w:val="2"/>
          <w:sz w:val="24"/>
          <w:szCs w:val="24"/>
        </w:rPr>
        <w:t>情况分析</w:t>
      </w:r>
    </w:p>
    <w:p>
      <w:pPr>
        <w:spacing w:line="360" w:lineRule="auto"/>
        <w:ind w:firstLine="480" w:firstLineChars="200"/>
        <w:jc w:val="both"/>
        <w:rPr>
          <w:rFonts w:ascii="宋体" w:hAnsi="宋体" w:eastAsia="宋体" w:cstheme="minorBidi"/>
          <w:b/>
          <w:bCs/>
          <w:kern w:val="2"/>
          <w:sz w:val="24"/>
          <w:szCs w:val="24"/>
        </w:rPr>
      </w:pPr>
      <w:r>
        <w:rPr>
          <w:rFonts w:hint="eastAsia" w:ascii="Times New Roman" w:hAnsi="Times New Roman" w:eastAsia="宋体" w:cs="Times New Roman"/>
          <w:szCs w:val="28"/>
          <w:lang w:val="en-US" w:eastAsia="zh-CN"/>
        </w:rPr>
        <w:t>专业课校内授课教师共108人，其中35 岁及以下的为18人，占比16.67%，36-45岁的为50人，占比46.3%，46-55岁的为34人，占比31.48%，56岁及以上的为6人，占比5.56%；核心课校内授课教师共42人，其中35岁及以下的7人，36-45岁的为13人，46-55岁的为20人，56岁及以上的为2人。</w:t>
      </w:r>
    </w:p>
    <w:p>
      <w:pPr>
        <w:jc w:val="center"/>
        <w:rPr>
          <w:rFonts w:hint="default"/>
          <w:lang w:val="en-US"/>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18</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校内授课教师年龄分布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837"/>
        <w:gridCol w:w="1403"/>
        <w:gridCol w:w="1972"/>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tcBorders>
              <w:top w:val="single" w:color="000000" w:sz="2" w:space="0"/>
              <w:left w:val="single" w:color="000000" w:sz="4"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1837"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专业课授课教师</w:t>
            </w:r>
          </w:p>
        </w:tc>
        <w:tc>
          <w:tcPr>
            <w:tcW w:w="1403"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比例(%)</w:t>
            </w:r>
          </w:p>
        </w:tc>
        <w:tc>
          <w:tcPr>
            <w:tcW w:w="197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核心课授课教师</w:t>
            </w:r>
          </w:p>
        </w:tc>
        <w:tc>
          <w:tcPr>
            <w:tcW w:w="1617"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Align w:val="center"/>
          </w:tcPr>
          <w:p>
            <w:pPr>
              <w:jc w:val="center"/>
              <w:rPr>
                <w:rFonts w:hint="default" w:ascii="Times New Roman" w:hAnsi="Times New Roman" w:cs="Times New Roman"/>
                <w:b w:val="0"/>
                <w:bCs/>
                <w:sz w:val="21"/>
                <w:szCs w:val="21"/>
              </w:rPr>
            </w:pPr>
            <w:r>
              <w:rPr>
                <w:rFonts w:hint="default" w:ascii="Times New Roman" w:hAnsi="Times New Roman" w:eastAsia="Times New Roman" w:cs="Times New Roman"/>
                <w:b w:val="0"/>
                <w:bCs/>
                <w:sz w:val="21"/>
                <w:szCs w:val="22"/>
              </w:rPr>
              <w:t>35</w:t>
            </w:r>
            <w:r>
              <w:rPr>
                <w:rFonts w:hint="default" w:ascii="Times New Roman" w:hAnsi="Times New Roman" w:cs="Times New Roman"/>
                <w:b w:val="0"/>
                <w:bCs/>
                <w:sz w:val="21"/>
                <w:szCs w:val="22"/>
              </w:rPr>
              <w:t>岁及以下</w:t>
            </w:r>
          </w:p>
        </w:tc>
        <w:tc>
          <w:tcPr>
            <w:tcW w:w="183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140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16.67</w:t>
            </w:r>
          </w:p>
        </w:tc>
        <w:tc>
          <w:tcPr>
            <w:tcW w:w="1972"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161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Align w:val="center"/>
          </w:tcPr>
          <w:p>
            <w:pPr>
              <w:jc w:val="center"/>
              <w:rPr>
                <w:rFonts w:hint="default" w:ascii="Times New Roman" w:hAnsi="Times New Roman" w:cs="Times New Roman"/>
                <w:b w:val="0"/>
                <w:bCs/>
                <w:sz w:val="21"/>
                <w:szCs w:val="21"/>
              </w:rPr>
            </w:pPr>
            <w:r>
              <w:rPr>
                <w:rFonts w:hint="default" w:ascii="Times New Roman" w:hAnsi="Times New Roman" w:eastAsia="Times New Roman" w:cs="Times New Roman"/>
                <w:b w:val="0"/>
                <w:bCs/>
                <w:sz w:val="21"/>
                <w:szCs w:val="22"/>
              </w:rPr>
              <w:t xml:space="preserve">36-45 </w:t>
            </w:r>
            <w:r>
              <w:rPr>
                <w:rFonts w:hint="default" w:ascii="Times New Roman" w:hAnsi="Times New Roman" w:cs="Times New Roman"/>
                <w:b w:val="0"/>
                <w:bCs/>
                <w:sz w:val="21"/>
                <w:szCs w:val="22"/>
              </w:rPr>
              <w:t>岁</w:t>
            </w:r>
          </w:p>
        </w:tc>
        <w:tc>
          <w:tcPr>
            <w:tcW w:w="183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50</w:t>
            </w:r>
          </w:p>
        </w:tc>
        <w:tc>
          <w:tcPr>
            <w:tcW w:w="140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46.3</w:t>
            </w:r>
          </w:p>
        </w:tc>
        <w:tc>
          <w:tcPr>
            <w:tcW w:w="1972"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161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Align w:val="center"/>
          </w:tcPr>
          <w:p>
            <w:pPr>
              <w:jc w:val="center"/>
              <w:rPr>
                <w:rFonts w:hint="default" w:ascii="Times New Roman" w:hAnsi="Times New Roman" w:cs="Times New Roman"/>
                <w:b w:val="0"/>
                <w:bCs/>
                <w:sz w:val="21"/>
                <w:szCs w:val="21"/>
              </w:rPr>
            </w:pPr>
            <w:r>
              <w:rPr>
                <w:rFonts w:hint="default" w:ascii="Times New Roman" w:hAnsi="Times New Roman" w:eastAsia="Times New Roman" w:cs="Times New Roman"/>
                <w:b w:val="0"/>
                <w:bCs/>
                <w:sz w:val="21"/>
                <w:szCs w:val="22"/>
              </w:rPr>
              <w:t xml:space="preserve">46-55 </w:t>
            </w:r>
            <w:r>
              <w:rPr>
                <w:rFonts w:hint="default" w:ascii="Times New Roman" w:hAnsi="Times New Roman" w:cs="Times New Roman"/>
                <w:b w:val="0"/>
                <w:bCs/>
                <w:sz w:val="21"/>
                <w:szCs w:val="22"/>
              </w:rPr>
              <w:t>岁</w:t>
            </w:r>
          </w:p>
        </w:tc>
        <w:tc>
          <w:tcPr>
            <w:tcW w:w="183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34</w:t>
            </w:r>
          </w:p>
        </w:tc>
        <w:tc>
          <w:tcPr>
            <w:tcW w:w="140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31.48</w:t>
            </w:r>
          </w:p>
        </w:tc>
        <w:tc>
          <w:tcPr>
            <w:tcW w:w="1972"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161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Align w:val="center"/>
          </w:tcPr>
          <w:p>
            <w:pPr>
              <w:jc w:val="center"/>
              <w:rPr>
                <w:rFonts w:hint="default" w:ascii="Times New Roman" w:hAnsi="Times New Roman" w:cs="Times New Roman"/>
                <w:b w:val="0"/>
                <w:bCs/>
                <w:sz w:val="21"/>
                <w:szCs w:val="21"/>
              </w:rPr>
            </w:pPr>
            <w:r>
              <w:rPr>
                <w:rFonts w:hint="default" w:ascii="Times New Roman" w:hAnsi="Times New Roman" w:eastAsia="Times New Roman" w:cs="Times New Roman"/>
                <w:b w:val="0"/>
                <w:bCs/>
                <w:sz w:val="21"/>
                <w:szCs w:val="22"/>
              </w:rPr>
              <w:t>56</w:t>
            </w:r>
            <w:r>
              <w:rPr>
                <w:rFonts w:hint="default" w:ascii="Times New Roman" w:hAnsi="Times New Roman" w:cs="Times New Roman"/>
                <w:b w:val="0"/>
                <w:bCs/>
                <w:sz w:val="21"/>
                <w:szCs w:val="22"/>
              </w:rPr>
              <w:t>岁及以上</w:t>
            </w:r>
          </w:p>
        </w:tc>
        <w:tc>
          <w:tcPr>
            <w:tcW w:w="183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40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5.56</w:t>
            </w:r>
          </w:p>
        </w:tc>
        <w:tc>
          <w:tcPr>
            <w:tcW w:w="1972"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61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4.76</w:t>
            </w:r>
            <w:bookmarkStart w:id="77" w:name="OLE_LINK40"/>
            <w:bookmarkEnd w:id="77"/>
          </w:p>
        </w:tc>
      </w:tr>
    </w:tbl>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4.2.4专业课校内授课教师来源情况分析</w:t>
      </w:r>
    </w:p>
    <w:p>
      <w:pPr>
        <w:spacing w:line="360" w:lineRule="auto"/>
        <w:ind w:firstLine="480" w:firstLineChars="200"/>
        <w:jc w:val="both"/>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专业课校内授课教师共108人，其中本专业教师10人，占比9.26%，本学院外专业教师61人，占比56.48%，校内其他单位教师37人，占比34.26%；核心课校内授课教师共42人，其中本专业教师7人，本学院外专业教师25人，校内其他单位教师10人。</w:t>
      </w:r>
    </w:p>
    <w:p>
      <w:pPr>
        <w:jc w:val="center"/>
        <w:rPr>
          <w:rFonts w:hint="default"/>
          <w:lang w:val="en-US"/>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19</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校内授课教师来源</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845"/>
        <w:gridCol w:w="1530"/>
        <w:gridCol w:w="1725"/>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tcBorders>
              <w:top w:val="single" w:color="000000" w:sz="2" w:space="0"/>
              <w:left w:val="single" w:color="000000" w:sz="4"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184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专业课授课教师</w:t>
            </w:r>
          </w:p>
        </w:tc>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比例(%)</w:t>
            </w:r>
          </w:p>
        </w:tc>
        <w:tc>
          <w:tcPr>
            <w:tcW w:w="172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核心课授课教师</w:t>
            </w:r>
          </w:p>
        </w:tc>
        <w:tc>
          <w:tcPr>
            <w:tcW w:w="1624"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2"/>
              </w:rPr>
              <w:t>本专业</w:t>
            </w:r>
          </w:p>
        </w:tc>
        <w:tc>
          <w:tcPr>
            <w:tcW w:w="184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53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9.26</w:t>
            </w:r>
          </w:p>
        </w:tc>
        <w:tc>
          <w:tcPr>
            <w:tcW w:w="172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w:t>
            </w:r>
            <w:bookmarkStart w:id="78" w:name="OLE_LINK41"/>
            <w:bookmarkEnd w:id="78"/>
          </w:p>
        </w:tc>
        <w:tc>
          <w:tcPr>
            <w:tcW w:w="162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2"/>
              </w:rPr>
              <w:t>本学院外专业</w:t>
            </w:r>
          </w:p>
        </w:tc>
        <w:tc>
          <w:tcPr>
            <w:tcW w:w="184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61</w:t>
            </w:r>
          </w:p>
        </w:tc>
        <w:tc>
          <w:tcPr>
            <w:tcW w:w="153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56.48</w:t>
            </w:r>
          </w:p>
        </w:tc>
        <w:tc>
          <w:tcPr>
            <w:tcW w:w="172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25</w:t>
            </w:r>
          </w:p>
        </w:tc>
        <w:tc>
          <w:tcPr>
            <w:tcW w:w="162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2"/>
              </w:rPr>
              <w:t>校内其他单位</w:t>
            </w:r>
          </w:p>
        </w:tc>
        <w:tc>
          <w:tcPr>
            <w:tcW w:w="184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37</w:t>
            </w:r>
          </w:p>
        </w:tc>
        <w:tc>
          <w:tcPr>
            <w:tcW w:w="153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34.26</w:t>
            </w:r>
          </w:p>
        </w:tc>
        <w:tc>
          <w:tcPr>
            <w:tcW w:w="172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62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23.81</w:t>
            </w:r>
          </w:p>
        </w:tc>
      </w:tr>
    </w:tbl>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4.2.5专业课外聘授课教师情况分析</w:t>
      </w:r>
    </w:p>
    <w:p>
      <w:pPr>
        <w:spacing w:line="360" w:lineRule="auto"/>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表20 专业课外聘授课教师情况</w:t>
      </w:r>
    </w:p>
    <w:p/>
    <w:tbl>
      <w:tblPr>
        <w:tblStyle w:val="18"/>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2750"/>
        <w:gridCol w:w="2106"/>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jc w:val="center"/>
              <w:rPr>
                <w:sz w:val="21"/>
                <w:szCs w:val="21"/>
              </w:rPr>
            </w:pPr>
            <w:r>
              <w:rPr>
                <w:rFonts w:hint="eastAsia"/>
                <w:sz w:val="21"/>
                <w:szCs w:val="21"/>
              </w:rPr>
              <w:t>项目</w:t>
            </w:r>
          </w:p>
        </w:tc>
        <w:tc>
          <w:tcPr>
            <w:tcW w:w="2106" w:type="dxa"/>
            <w:vAlign w:val="center"/>
          </w:tcPr>
          <w:p>
            <w:pPr>
              <w:jc w:val="center"/>
              <w:rPr>
                <w:sz w:val="21"/>
                <w:szCs w:val="21"/>
              </w:rPr>
            </w:pPr>
            <w:r>
              <w:rPr>
                <w:rFonts w:hint="eastAsia"/>
                <w:sz w:val="21"/>
                <w:szCs w:val="21"/>
              </w:rPr>
              <w:t>数量</w:t>
            </w:r>
          </w:p>
        </w:tc>
        <w:tc>
          <w:tcPr>
            <w:tcW w:w="2212" w:type="dxa"/>
            <w:vAlign w:val="center"/>
          </w:tcPr>
          <w:p>
            <w:pPr>
              <w:jc w:val="center"/>
              <w:rPr>
                <w:sz w:val="21"/>
                <w:szCs w:val="21"/>
              </w:rPr>
            </w:pPr>
            <w:r>
              <w:rPr>
                <w:rFonts w:hint="eastAsia"/>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jc w:val="center"/>
              <w:rPr>
                <w:sz w:val="21"/>
                <w:szCs w:val="21"/>
              </w:rPr>
            </w:pPr>
            <w:r>
              <w:rPr>
                <w:rFonts w:hint="eastAsia"/>
                <w:sz w:val="21"/>
                <w:szCs w:val="21"/>
              </w:rPr>
              <w:t>总数</w:t>
            </w:r>
          </w:p>
        </w:tc>
        <w:tc>
          <w:tcPr>
            <w:tcW w:w="2106" w:type="dxa"/>
            <w:vAlign w:val="center"/>
          </w:tcPr>
          <w:p>
            <w:pPr>
              <w:jc w:val="center"/>
              <w:rPr>
                <w:rFonts w:hint="eastAsia" w:eastAsia="宋体"/>
                <w:sz w:val="21"/>
                <w:szCs w:val="21"/>
                <w:lang w:eastAsia="zh-CN"/>
              </w:rPr>
            </w:pPr>
            <w:r>
              <w:rPr>
                <w:rFonts w:hint="eastAsia"/>
                <w:sz w:val="21"/>
                <w:szCs w:val="21"/>
                <w:lang w:val="en-US" w:eastAsia="zh-CN"/>
              </w:rPr>
              <w:t>4</w:t>
            </w:r>
            <w:bookmarkStart w:id="175" w:name="_GoBack"/>
            <w:bookmarkEnd w:id="175"/>
          </w:p>
        </w:tc>
        <w:tc>
          <w:tcPr>
            <w:tcW w:w="2212"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jc w:val="center"/>
              <w:rPr>
                <w:sz w:val="21"/>
                <w:szCs w:val="21"/>
              </w:rPr>
            </w:pPr>
            <w:bookmarkStart w:id="79" w:name="OLE_LINK42"/>
            <w:r>
              <w:rPr>
                <w:rFonts w:hint="eastAsia"/>
                <w:sz w:val="21"/>
                <w:szCs w:val="21"/>
              </w:rPr>
              <w:t>职称</w:t>
            </w:r>
            <w:bookmarkEnd w:id="79"/>
          </w:p>
        </w:tc>
        <w:tc>
          <w:tcPr>
            <w:tcW w:w="2750" w:type="dxa"/>
            <w:vAlign w:val="center"/>
          </w:tcPr>
          <w:p>
            <w:pPr>
              <w:jc w:val="center"/>
              <w:rPr>
                <w:sz w:val="21"/>
                <w:szCs w:val="21"/>
              </w:rPr>
            </w:pPr>
            <w:r>
              <w:rPr>
                <w:rFonts w:hint="eastAsia"/>
                <w:sz w:val="21"/>
                <w:szCs w:val="21"/>
              </w:rPr>
              <w:t>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副教授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80" w:name="OLE_LINK43"/>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讲师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81" w:name="OLE_LINK44"/>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助教</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其他正高级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0</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其他副高级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其他中级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2</w:t>
            </w:r>
          </w:p>
        </w:tc>
        <w:tc>
          <w:tcPr>
            <w:tcW w:w="2212" w:type="dxa"/>
            <w:vAlign w:val="center"/>
          </w:tcPr>
          <w:p>
            <w:pPr>
              <w:jc w:val="center"/>
              <w:rPr>
                <w:sz w:val="21"/>
                <w:szCs w:val="21"/>
              </w:rPr>
            </w:pPr>
            <w:r>
              <w:rPr>
                <w:rFonts w:hint="eastAsia"/>
                <w:sz w:val="21"/>
                <w:szCs w:val="21"/>
                <w:lang w:val="en-US" w:eastAsia="zh-CN"/>
              </w:rPr>
              <w:t>5</w:t>
            </w:r>
            <w:r>
              <w:rPr>
                <w:sz w:val="21"/>
                <w:szCs w:val="21"/>
              </w:rPr>
              <w:t>0</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其他初级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未评级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2</w:t>
            </w:r>
          </w:p>
        </w:tc>
        <w:tc>
          <w:tcPr>
            <w:tcW w:w="2212" w:type="dxa"/>
            <w:vAlign w:val="center"/>
          </w:tcPr>
          <w:p>
            <w:pPr>
              <w:jc w:val="center"/>
              <w:rPr>
                <w:sz w:val="21"/>
                <w:szCs w:val="21"/>
              </w:rPr>
            </w:pPr>
            <w:r>
              <w:rPr>
                <w:rFonts w:hint="eastAsia"/>
                <w:sz w:val="21"/>
                <w:szCs w:val="21"/>
                <w:lang w:val="en-US" w:eastAsia="zh-CN"/>
              </w:rPr>
              <w:t>5</w:t>
            </w:r>
            <w:r>
              <w:rPr>
                <w:sz w:val="21"/>
                <w:szCs w:val="21"/>
              </w:rPr>
              <w:t>0</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jc w:val="center"/>
              <w:rPr>
                <w:sz w:val="21"/>
                <w:szCs w:val="21"/>
              </w:rPr>
            </w:pPr>
            <w:r>
              <w:rPr>
                <w:rFonts w:hint="eastAsia"/>
                <w:sz w:val="21"/>
                <w:szCs w:val="21"/>
              </w:rPr>
              <w:t>最高学位</w:t>
            </w:r>
          </w:p>
        </w:tc>
        <w:tc>
          <w:tcPr>
            <w:tcW w:w="2750" w:type="dxa"/>
            <w:vAlign w:val="center"/>
          </w:tcPr>
          <w:p>
            <w:pPr>
              <w:jc w:val="center"/>
              <w:rPr>
                <w:sz w:val="21"/>
                <w:szCs w:val="21"/>
              </w:rPr>
            </w:pPr>
            <w:r>
              <w:rPr>
                <w:rFonts w:hint="eastAsia"/>
                <w:sz w:val="21"/>
                <w:szCs w:val="22"/>
              </w:rPr>
              <w:t>博士</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硕士</w:t>
            </w:r>
          </w:p>
        </w:tc>
        <w:tc>
          <w:tcPr>
            <w:tcW w:w="2106" w:type="dxa"/>
            <w:vAlign w:val="center"/>
          </w:tcPr>
          <w:p>
            <w:pPr>
              <w:jc w:val="center"/>
              <w:rPr>
                <w:rFonts w:hint="eastAsia" w:eastAsia="宋体"/>
                <w:sz w:val="21"/>
                <w:szCs w:val="21"/>
                <w:lang w:val="en-US" w:eastAsia="zh-CN"/>
              </w:rPr>
            </w:pPr>
            <w:r>
              <w:rPr>
                <w:rFonts w:hint="eastAsia"/>
                <w:sz w:val="21"/>
                <w:szCs w:val="21"/>
                <w:lang w:val="en-US" w:eastAsia="zh-CN"/>
              </w:rPr>
              <w:t>1</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学士</w:t>
            </w:r>
          </w:p>
        </w:tc>
        <w:tc>
          <w:tcPr>
            <w:tcW w:w="2106" w:type="dxa"/>
            <w:vAlign w:val="center"/>
          </w:tcPr>
          <w:p>
            <w:pPr>
              <w:jc w:val="center"/>
              <w:rPr>
                <w:rFonts w:hint="eastAsia" w:eastAsia="宋体"/>
                <w:sz w:val="21"/>
                <w:szCs w:val="21"/>
                <w:lang w:eastAsia="zh-CN"/>
              </w:rPr>
            </w:pPr>
            <w:r>
              <w:rPr>
                <w:rFonts w:hint="eastAsia"/>
                <w:sz w:val="21"/>
                <w:szCs w:val="21"/>
                <w:lang w:val="en-US" w:eastAsia="zh-CN"/>
              </w:rPr>
              <w:t>3</w:t>
            </w:r>
          </w:p>
        </w:tc>
        <w:tc>
          <w:tcPr>
            <w:tcW w:w="2212" w:type="dxa"/>
            <w:vAlign w:val="center"/>
          </w:tcPr>
          <w:p>
            <w:pPr>
              <w:jc w:val="center"/>
              <w:rPr>
                <w:sz w:val="21"/>
                <w:szCs w:val="21"/>
              </w:rPr>
            </w:pPr>
            <w:r>
              <w:rPr>
                <w:rFonts w:hint="eastAsia"/>
                <w:sz w:val="21"/>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无学位</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bl>
    <w:p/>
    <w:p>
      <w:pPr>
        <w:pStyle w:val="4"/>
        <w:rPr>
          <w:rFonts w:hint="eastAsia" w:ascii="宋体" w:hAnsi="宋体" w:eastAsia="宋体"/>
          <w:b/>
          <w:bCs/>
          <w:sz w:val="24"/>
          <w:szCs w:val="24"/>
        </w:rPr>
      </w:pPr>
      <w:bookmarkStart w:id="82" w:name="_Toc18200"/>
      <w:r>
        <w:rPr>
          <w:rFonts w:hint="eastAsia" w:ascii="宋体" w:hAnsi="宋体" w:eastAsia="宋体"/>
          <w:b/>
          <w:bCs/>
          <w:sz w:val="24"/>
          <w:szCs w:val="24"/>
        </w:rPr>
        <w:t>4.3</w:t>
      </w:r>
      <w:bookmarkStart w:id="83" w:name="OLE_LINK45"/>
      <w:r>
        <w:rPr>
          <w:rFonts w:hint="eastAsia" w:ascii="宋体" w:hAnsi="宋体" w:eastAsia="宋体"/>
          <w:b/>
          <w:bCs/>
          <w:sz w:val="24"/>
          <w:szCs w:val="24"/>
        </w:rPr>
        <w:t>教师教学</w:t>
      </w:r>
      <w:bookmarkEnd w:id="83"/>
      <w:r>
        <w:rPr>
          <w:rFonts w:hint="eastAsia" w:ascii="宋体" w:hAnsi="宋体" w:eastAsia="宋体"/>
          <w:b/>
          <w:bCs/>
          <w:sz w:val="24"/>
          <w:szCs w:val="24"/>
        </w:rPr>
        <w:t>科研情况</w:t>
      </w:r>
      <w:bookmarkEnd w:id="82"/>
      <w:r>
        <w:rPr>
          <w:rFonts w:hint="eastAsia" w:ascii="宋体" w:hAnsi="宋体" w:eastAsia="宋体"/>
          <w:b/>
          <w:bCs/>
          <w:sz w:val="24"/>
          <w:szCs w:val="24"/>
        </w:rPr>
        <w:t xml:space="preserve"> </w:t>
      </w: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4.3.1教师主持教育教学改革项目情况</w:t>
      </w:r>
    </w:p>
    <w:p>
      <w:pPr>
        <w:spacing w:line="360" w:lineRule="auto"/>
        <w:ind w:firstLine="480" w:firstLineChars="200"/>
        <w:jc w:val="both"/>
        <w:rPr>
          <w:rFonts w:hint="default" w:ascii="Times New Roman" w:hAnsi="Times New Roman" w:eastAsia="宋体" w:cs="宋体"/>
          <w:kern w:val="0"/>
          <w:sz w:val="24"/>
          <w:lang w:val="en-US" w:eastAsia="zh-CN"/>
        </w:rPr>
      </w:pPr>
      <w:r>
        <w:rPr>
          <w:rFonts w:hint="eastAsia" w:cstheme="minorBidi"/>
          <w:b w:val="0"/>
          <w:bCs w:val="0"/>
          <w:kern w:val="2"/>
          <w:sz w:val="24"/>
          <w:szCs w:val="24"/>
          <w:lang w:val="en-US" w:eastAsia="zh-CN"/>
        </w:rPr>
        <w:t>专业教师在</w:t>
      </w:r>
      <w:r>
        <w:rPr>
          <w:rFonts w:hint="eastAsia" w:ascii="Times New Roman" w:hAnsi="Times New Roman"/>
          <w:kern w:val="0"/>
          <w:sz w:val="24"/>
        </w:rPr>
        <w:t>202</w:t>
      </w:r>
      <w:r>
        <w:rPr>
          <w:rFonts w:hint="eastAsia" w:ascii="Times New Roman" w:hAnsi="Times New Roman"/>
          <w:kern w:val="0"/>
          <w:sz w:val="24"/>
          <w:lang w:val="en-US" w:eastAsia="zh-CN"/>
        </w:rPr>
        <w:t>2</w:t>
      </w:r>
      <w:r>
        <w:rPr>
          <w:rFonts w:hint="eastAsia" w:ascii="Times New Roman" w:hAnsi="Times New Roman"/>
          <w:kern w:val="0"/>
          <w:sz w:val="24"/>
        </w:rPr>
        <w:t>-202</w:t>
      </w:r>
      <w:r>
        <w:rPr>
          <w:rFonts w:hint="eastAsia" w:ascii="Times New Roman" w:hAnsi="Times New Roman"/>
          <w:kern w:val="0"/>
          <w:sz w:val="24"/>
          <w:lang w:val="en-US" w:eastAsia="zh-CN"/>
        </w:rPr>
        <w:t>3</w:t>
      </w:r>
      <w:r>
        <w:rPr>
          <w:rFonts w:ascii="Times New Roman" w:hAnsi="Times New Roman"/>
          <w:kern w:val="0"/>
          <w:sz w:val="24"/>
        </w:rPr>
        <w:t>年度</w:t>
      </w:r>
      <w:r>
        <w:rPr>
          <w:rFonts w:hint="eastAsia" w:ascii="Times New Roman" w:hAnsi="Times New Roman"/>
          <w:kern w:val="0"/>
          <w:sz w:val="24"/>
          <w:lang w:val="en-US" w:eastAsia="zh-CN"/>
        </w:rPr>
        <w:t>主持教学项目5项，其中《创业学》获批校重点课程项目，《</w:t>
      </w:r>
      <w:r>
        <w:rPr>
          <w:rFonts w:ascii="Times New Roman" w:hAnsi="Times New Roman"/>
        </w:rPr>
        <w:t>市场调研与市场预测实习</w:t>
      </w:r>
      <w:r>
        <w:rPr>
          <w:rFonts w:hint="eastAsia" w:ascii="Times New Roman" w:hAnsi="Times New Roman"/>
          <w:kern w:val="0"/>
          <w:sz w:val="24"/>
          <w:lang w:val="en-US" w:eastAsia="zh-CN"/>
        </w:rPr>
        <w:t>》获批教学建设项目，《商务谈判》获批校在线课程建设项目，</w:t>
      </w:r>
      <w:r>
        <w:rPr>
          <w:rFonts w:hint="default" w:ascii="Times New Roman" w:hAnsi="Times New Roman" w:cs="Times New Roman"/>
          <w:szCs w:val="28"/>
          <w:highlight w:val="none"/>
          <w:lang w:val="en-US" w:eastAsia="zh-CN"/>
        </w:rPr>
        <w:t>《市场营销学》</w:t>
      </w:r>
      <w:r>
        <w:rPr>
          <w:rFonts w:hint="default" w:ascii="Times New Roman" w:hAnsi="Times New Roman" w:eastAsia="宋体" w:cs="宋体"/>
          <w:kern w:val="0"/>
          <w:sz w:val="24"/>
          <w:lang w:val="en-US" w:eastAsia="zh-CN"/>
        </w:rPr>
        <w:t>获批2023年校一流课程</w:t>
      </w:r>
      <w:r>
        <w:rPr>
          <w:rFonts w:hint="eastAsia" w:ascii="Times New Roman" w:hAnsi="Times New Roman" w:eastAsia="宋体" w:cs="宋体"/>
          <w:kern w:val="0"/>
          <w:sz w:val="24"/>
          <w:lang w:val="en-US" w:eastAsia="zh-CN"/>
        </w:rPr>
        <w:t>，此外，“市场营销专业虚拟教研室”获批校级虚拟教研室</w:t>
      </w:r>
      <w:r>
        <w:rPr>
          <w:rFonts w:hint="default" w:ascii="Times New Roman" w:hAnsi="Times New Roman" w:eastAsia="宋体" w:cs="宋体"/>
          <w:kern w:val="0"/>
          <w:sz w:val="24"/>
        </w:rPr>
        <w:t>建设项目</w:t>
      </w:r>
      <w:r>
        <w:rPr>
          <w:rFonts w:hint="eastAsia" w:ascii="Times New Roman" w:hAnsi="Times New Roman" w:eastAsia="宋体" w:cs="宋体"/>
          <w:kern w:val="0"/>
          <w:sz w:val="24"/>
          <w:lang w:val="en-US" w:eastAsia="zh-CN"/>
        </w:rPr>
        <w:t>。</w:t>
      </w:r>
    </w:p>
    <w:p>
      <w:pPr>
        <w:spacing w:line="360" w:lineRule="auto"/>
        <w:jc w:val="center"/>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t>表2</w:t>
      </w:r>
      <w:r>
        <w:rPr>
          <w:rFonts w:hint="eastAsia" w:ascii="Times New Roman" w:hAnsi="Times New Roman" w:cs="Times New Roman"/>
          <w:b w:val="0"/>
          <w:bCs w:val="0"/>
          <w:sz w:val="21"/>
          <w:szCs w:val="21"/>
          <w:lang w:val="en-US" w:eastAsia="zh-CN"/>
        </w:rPr>
        <w:t>1</w:t>
      </w:r>
      <w:r>
        <w:rPr>
          <w:rFonts w:hint="eastAsia" w:ascii="Times New Roman" w:hAnsi="Times New Roman" w:eastAsia="宋体" w:cs="Times New Roman"/>
          <w:b w:val="0"/>
          <w:bCs w:val="0"/>
          <w:sz w:val="21"/>
          <w:szCs w:val="21"/>
          <w:lang w:val="en-US" w:eastAsia="zh-CN"/>
        </w:rPr>
        <w:t xml:space="preserve"> </w:t>
      </w:r>
      <w:r>
        <w:rPr>
          <w:rFonts w:hint="eastAsia" w:ascii="Times New Roman" w:hAnsi="Times New Roman" w:eastAsia="宋体" w:cs="Times New Roman"/>
          <w:b w:val="0"/>
          <w:bCs w:val="0"/>
          <w:sz w:val="21"/>
          <w:szCs w:val="21"/>
        </w:rPr>
        <w:t>教师</w:t>
      </w:r>
      <w:r>
        <w:rPr>
          <w:rFonts w:hint="eastAsia" w:ascii="Times New Roman" w:hAnsi="Times New Roman" w:eastAsia="宋体" w:cs="Times New Roman"/>
          <w:b w:val="0"/>
          <w:bCs w:val="0"/>
          <w:sz w:val="21"/>
          <w:szCs w:val="21"/>
          <w:lang w:val="en-US" w:eastAsia="zh-CN"/>
        </w:rPr>
        <w:t>主持教育教学建设</w:t>
      </w:r>
      <w:r>
        <w:rPr>
          <w:rFonts w:hint="eastAsia" w:ascii="Times New Roman" w:hAnsi="Times New Roman" w:eastAsia="宋体" w:cs="Times New Roman"/>
          <w:b w:val="0"/>
          <w:bCs w:val="0"/>
          <w:sz w:val="21"/>
          <w:szCs w:val="21"/>
        </w:rPr>
        <w:t>项目</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0"/>
        <w:gridCol w:w="893"/>
        <w:gridCol w:w="2535"/>
        <w:gridCol w:w="3606"/>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bookmarkStart w:id="84" w:name="_Hlk103198709"/>
            <w:r>
              <w:rPr>
                <w:rFonts w:hint="eastAsia" w:ascii="Times New Roman" w:hAnsi="Times New Roman" w:eastAsia="宋体" w:cs="Times New Roman"/>
                <w:sz w:val="21"/>
                <w:szCs w:val="21"/>
              </w:rPr>
              <w:t>序号</w:t>
            </w:r>
          </w:p>
        </w:tc>
        <w:tc>
          <w:tcPr>
            <w:tcW w:w="893"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负责人</w:t>
            </w:r>
          </w:p>
        </w:tc>
        <w:tc>
          <w:tcPr>
            <w:tcW w:w="2535"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项目名称</w:t>
            </w:r>
          </w:p>
        </w:tc>
        <w:tc>
          <w:tcPr>
            <w:tcW w:w="360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课题来源</w:t>
            </w:r>
          </w:p>
        </w:tc>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年份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1</w:t>
            </w:r>
          </w:p>
        </w:tc>
        <w:tc>
          <w:tcPr>
            <w:tcW w:w="893"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朱強</w:t>
            </w:r>
          </w:p>
        </w:tc>
        <w:tc>
          <w:tcPr>
            <w:tcW w:w="2535"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创业学</w:t>
            </w:r>
          </w:p>
        </w:tc>
        <w:tc>
          <w:tcPr>
            <w:tcW w:w="3606"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校级</w:t>
            </w:r>
            <w:r>
              <w:rPr>
                <w:rFonts w:hint="default" w:ascii="Times New Roman" w:hAnsi="Times New Roman" w:eastAsia="宋体" w:cs="Times New Roman"/>
                <w:sz w:val="21"/>
                <w:szCs w:val="21"/>
              </w:rPr>
              <w:t>重点课程项目</w:t>
            </w:r>
          </w:p>
        </w:tc>
        <w:tc>
          <w:tcPr>
            <w:tcW w:w="828"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2</w:t>
            </w:r>
          </w:p>
        </w:tc>
        <w:tc>
          <w:tcPr>
            <w:tcW w:w="893"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刘尊礼</w:t>
            </w:r>
          </w:p>
        </w:tc>
        <w:tc>
          <w:tcPr>
            <w:tcW w:w="2535"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市场调研与市场预测实习</w:t>
            </w:r>
          </w:p>
        </w:tc>
        <w:tc>
          <w:tcPr>
            <w:tcW w:w="3606"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校级</w:t>
            </w:r>
            <w:r>
              <w:rPr>
                <w:rFonts w:hint="default" w:ascii="Times New Roman" w:hAnsi="Times New Roman" w:eastAsia="宋体" w:cs="Times New Roman"/>
                <w:sz w:val="21"/>
                <w:szCs w:val="21"/>
              </w:rPr>
              <w:t>教学建设项目</w:t>
            </w:r>
          </w:p>
        </w:tc>
        <w:tc>
          <w:tcPr>
            <w:tcW w:w="828"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3</w:t>
            </w:r>
          </w:p>
        </w:tc>
        <w:tc>
          <w:tcPr>
            <w:tcW w:w="893"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李义敏</w:t>
            </w:r>
          </w:p>
        </w:tc>
        <w:tc>
          <w:tcPr>
            <w:tcW w:w="2535"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商务谈判</w:t>
            </w:r>
          </w:p>
        </w:tc>
        <w:tc>
          <w:tcPr>
            <w:tcW w:w="3606"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校级</w:t>
            </w:r>
            <w:r>
              <w:rPr>
                <w:rFonts w:hint="default" w:ascii="Times New Roman" w:hAnsi="Times New Roman" w:eastAsia="宋体" w:cs="Times New Roman"/>
                <w:sz w:val="21"/>
                <w:szCs w:val="21"/>
              </w:rPr>
              <w:t>在线课程建设项目</w:t>
            </w:r>
          </w:p>
        </w:tc>
        <w:tc>
          <w:tcPr>
            <w:tcW w:w="828"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893"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田雪莹</w:t>
            </w:r>
          </w:p>
        </w:tc>
        <w:tc>
          <w:tcPr>
            <w:tcW w:w="2535"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市场营销专业虚拟教研室</w:t>
            </w:r>
          </w:p>
        </w:tc>
        <w:tc>
          <w:tcPr>
            <w:tcW w:w="3606"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校级虚拟教研室</w:t>
            </w:r>
            <w:r>
              <w:rPr>
                <w:rFonts w:hint="default" w:ascii="Times New Roman" w:hAnsi="Times New Roman" w:eastAsia="宋体" w:cs="Times New Roman"/>
                <w:sz w:val="21"/>
                <w:szCs w:val="21"/>
              </w:rPr>
              <w:t>建设项目</w:t>
            </w:r>
          </w:p>
        </w:tc>
        <w:tc>
          <w:tcPr>
            <w:tcW w:w="828"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893" w:type="dxa"/>
            <w:shd w:val="clear" w:color="auto" w:fill="auto"/>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田雪莹</w:t>
            </w:r>
          </w:p>
        </w:tc>
        <w:tc>
          <w:tcPr>
            <w:tcW w:w="2535" w:type="dxa"/>
            <w:shd w:val="clear" w:color="auto" w:fill="auto"/>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市场营销学</w:t>
            </w:r>
          </w:p>
        </w:tc>
        <w:tc>
          <w:tcPr>
            <w:tcW w:w="3606" w:type="dxa"/>
            <w:shd w:val="clear" w:color="auto" w:fill="auto"/>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校级</w:t>
            </w:r>
            <w:r>
              <w:rPr>
                <w:rFonts w:hint="default" w:ascii="Times New Roman" w:hAnsi="Times New Roman" w:eastAsia="宋体" w:cs="Times New Roman"/>
                <w:sz w:val="21"/>
                <w:szCs w:val="21"/>
                <w:lang w:val="en-US" w:eastAsia="zh-CN"/>
              </w:rPr>
              <w:t>一流课程</w:t>
            </w:r>
          </w:p>
        </w:tc>
        <w:tc>
          <w:tcPr>
            <w:tcW w:w="828" w:type="dxa"/>
            <w:shd w:val="clear" w:color="auto" w:fill="auto"/>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2023</w:t>
            </w:r>
          </w:p>
        </w:tc>
      </w:tr>
      <w:bookmarkEnd w:id="84"/>
    </w:tbl>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4.3.2教师主编本专业教材情况</w:t>
      </w:r>
    </w:p>
    <w:p>
      <w:pPr>
        <w:spacing w:line="360" w:lineRule="auto"/>
        <w:ind w:firstLine="480" w:firstLineChars="200"/>
        <w:jc w:val="both"/>
        <w:rPr>
          <w:rFonts w:hint="default" w:eastAsia="宋体"/>
          <w:lang w:val="en-US" w:eastAsia="zh-CN"/>
        </w:rPr>
      </w:pPr>
      <w:r>
        <w:rPr>
          <w:rFonts w:hint="eastAsia" w:cstheme="minorBidi"/>
          <w:b w:val="0"/>
          <w:bCs w:val="0"/>
          <w:kern w:val="2"/>
          <w:sz w:val="24"/>
          <w:szCs w:val="24"/>
          <w:lang w:val="en-US" w:eastAsia="zh-CN"/>
        </w:rPr>
        <w:t>专业教师在</w:t>
      </w:r>
      <w:r>
        <w:rPr>
          <w:rFonts w:hint="eastAsia" w:ascii="Times New Roman" w:hAnsi="Times New Roman"/>
          <w:kern w:val="0"/>
          <w:sz w:val="24"/>
        </w:rPr>
        <w:t>202</w:t>
      </w:r>
      <w:r>
        <w:rPr>
          <w:rFonts w:hint="eastAsia" w:ascii="Times New Roman" w:hAnsi="Times New Roman"/>
          <w:kern w:val="0"/>
          <w:sz w:val="24"/>
          <w:lang w:val="en-US" w:eastAsia="zh-CN"/>
        </w:rPr>
        <w:t>2</w:t>
      </w:r>
      <w:r>
        <w:rPr>
          <w:rFonts w:hint="eastAsia" w:ascii="Times New Roman" w:hAnsi="Times New Roman"/>
          <w:kern w:val="0"/>
          <w:sz w:val="24"/>
        </w:rPr>
        <w:t>-202</w:t>
      </w:r>
      <w:r>
        <w:rPr>
          <w:rFonts w:hint="eastAsia" w:ascii="Times New Roman" w:hAnsi="Times New Roman"/>
          <w:kern w:val="0"/>
          <w:sz w:val="24"/>
          <w:lang w:val="en-US" w:eastAsia="zh-CN"/>
        </w:rPr>
        <w:t>3</w:t>
      </w:r>
      <w:r>
        <w:rPr>
          <w:rFonts w:ascii="Times New Roman" w:hAnsi="Times New Roman"/>
          <w:kern w:val="0"/>
          <w:sz w:val="24"/>
        </w:rPr>
        <w:t>年度</w:t>
      </w:r>
      <w:r>
        <w:rPr>
          <w:rFonts w:hint="eastAsia" w:ascii="Times New Roman" w:hAnsi="Times New Roman"/>
          <w:kern w:val="0"/>
          <w:sz w:val="24"/>
          <w:lang w:val="en-US" w:eastAsia="zh-CN"/>
        </w:rPr>
        <w:t>暂未编写出版教材。</w:t>
      </w: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w:t>
      </w:r>
      <w:r>
        <w:rPr>
          <w:rFonts w:hint="eastAsia" w:ascii="宋体" w:hAnsi="宋体" w:eastAsia="宋体" w:cstheme="minorBidi"/>
          <w:b w:val="0"/>
          <w:bCs w:val="0"/>
          <w:kern w:val="2"/>
          <w:sz w:val="24"/>
          <w:szCs w:val="24"/>
          <w:lang w:val="en-US" w:eastAsia="zh-CN"/>
        </w:rPr>
        <w:t>3</w:t>
      </w:r>
      <w:r>
        <w:rPr>
          <w:rFonts w:ascii="宋体" w:hAnsi="宋体" w:eastAsia="宋体" w:cstheme="minorBidi"/>
          <w:b w:val="0"/>
          <w:bCs w:val="0"/>
          <w:kern w:val="2"/>
          <w:sz w:val="24"/>
          <w:szCs w:val="24"/>
        </w:rPr>
        <w:t>教师</w:t>
      </w:r>
      <w:r>
        <w:rPr>
          <w:rFonts w:hint="eastAsia" w:ascii="宋体" w:hAnsi="宋体" w:eastAsia="宋体" w:cstheme="minorBidi"/>
          <w:b w:val="0"/>
          <w:bCs w:val="0"/>
          <w:kern w:val="2"/>
          <w:sz w:val="24"/>
          <w:szCs w:val="24"/>
          <w:lang w:val="en-US" w:eastAsia="zh-CN"/>
        </w:rPr>
        <w:t>承担科研项目</w:t>
      </w:r>
      <w:r>
        <w:rPr>
          <w:rFonts w:ascii="宋体" w:hAnsi="宋体" w:eastAsia="宋体" w:cstheme="minorBidi"/>
          <w:b w:val="0"/>
          <w:bCs w:val="0"/>
          <w:kern w:val="2"/>
          <w:sz w:val="24"/>
          <w:szCs w:val="24"/>
        </w:rPr>
        <w:t>情况</w:t>
      </w:r>
    </w:p>
    <w:p>
      <w:pPr>
        <w:adjustRightInd w:val="0"/>
        <w:snapToGrid w:val="0"/>
        <w:spacing w:line="400" w:lineRule="exact"/>
        <w:ind w:firstLine="475" w:firstLineChars="198"/>
        <w:rPr>
          <w:rFonts w:hint="eastAsia" w:ascii="Times New Roman" w:hAnsi="Times New Roman"/>
          <w:kern w:val="0"/>
          <w:sz w:val="24"/>
          <w:lang w:val="en-US" w:eastAsia="zh-CN"/>
        </w:rPr>
      </w:pPr>
      <w:r>
        <w:rPr>
          <w:rFonts w:ascii="Times New Roman" w:hAnsi="Times New Roman"/>
          <w:kern w:val="0"/>
          <w:sz w:val="24"/>
        </w:rPr>
        <w:t>专业教师在</w:t>
      </w:r>
      <w:r>
        <w:rPr>
          <w:rFonts w:hint="eastAsia" w:ascii="Times New Roman" w:hAnsi="Times New Roman"/>
          <w:kern w:val="0"/>
          <w:sz w:val="24"/>
        </w:rPr>
        <w:t>202</w:t>
      </w:r>
      <w:r>
        <w:rPr>
          <w:rFonts w:hint="eastAsia" w:ascii="Times New Roman" w:hAnsi="Times New Roman"/>
          <w:kern w:val="0"/>
          <w:sz w:val="24"/>
          <w:lang w:val="en-US" w:eastAsia="zh-CN"/>
        </w:rPr>
        <w:t>2</w:t>
      </w:r>
      <w:r>
        <w:rPr>
          <w:rFonts w:hint="eastAsia" w:ascii="Times New Roman" w:hAnsi="Times New Roman"/>
          <w:kern w:val="0"/>
          <w:sz w:val="24"/>
        </w:rPr>
        <w:t>-202</w:t>
      </w:r>
      <w:r>
        <w:rPr>
          <w:rFonts w:hint="eastAsia" w:ascii="Times New Roman" w:hAnsi="Times New Roman"/>
          <w:kern w:val="0"/>
          <w:sz w:val="24"/>
          <w:lang w:val="en-US" w:eastAsia="zh-CN"/>
        </w:rPr>
        <w:t>3</w:t>
      </w:r>
      <w:r>
        <w:rPr>
          <w:rFonts w:ascii="Times New Roman" w:hAnsi="Times New Roman"/>
          <w:kern w:val="0"/>
          <w:sz w:val="24"/>
        </w:rPr>
        <w:t>年度</w:t>
      </w:r>
      <w:r>
        <w:rPr>
          <w:rFonts w:hint="eastAsia" w:ascii="Times New Roman" w:hAnsi="Times New Roman"/>
          <w:kern w:val="0"/>
          <w:sz w:val="24"/>
          <w:lang w:val="en-US" w:eastAsia="zh-CN"/>
        </w:rPr>
        <w:t>承担</w:t>
      </w:r>
      <w:r>
        <w:rPr>
          <w:rFonts w:ascii="Times New Roman" w:hAnsi="Times New Roman"/>
          <w:kern w:val="0"/>
          <w:sz w:val="24"/>
        </w:rPr>
        <w:t>纵向课题</w:t>
      </w:r>
      <w:r>
        <w:rPr>
          <w:rFonts w:hint="eastAsia" w:ascii="Times New Roman" w:hAnsi="Times New Roman"/>
          <w:kern w:val="0"/>
          <w:sz w:val="24"/>
          <w:lang w:val="en-US" w:eastAsia="zh-CN"/>
        </w:rPr>
        <w:t>2项，承担横向课题5项。</w:t>
      </w:r>
    </w:p>
    <w:p>
      <w:pPr>
        <w:spacing w:line="360" w:lineRule="auto"/>
        <w:jc w:val="center"/>
        <w:rPr>
          <w:rFonts w:hint="default" w:ascii="Times New Roman" w:hAnsi="Times New Roman" w:cs="Times New Roman"/>
          <w:b w:val="0"/>
          <w:bCs w:val="0"/>
          <w:sz w:val="21"/>
          <w:szCs w:val="21"/>
        </w:rPr>
      </w:pPr>
      <w:r>
        <w:rPr>
          <w:rFonts w:hint="eastAsia"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22</w:t>
      </w:r>
      <w:r>
        <w:rPr>
          <w:rFonts w:hint="eastAsia" w:ascii="Times New Roman" w:hAnsi="Times New Roman" w:cs="Times New Roman"/>
          <w:b w:val="0"/>
          <w:bCs w:val="0"/>
          <w:sz w:val="21"/>
          <w:szCs w:val="21"/>
        </w:rPr>
        <w:t xml:space="preserve"> 专业教师</w:t>
      </w:r>
      <w:r>
        <w:rPr>
          <w:rFonts w:hint="eastAsia" w:ascii="Times New Roman" w:hAnsi="Times New Roman" w:cs="Times New Roman"/>
          <w:b w:val="0"/>
          <w:bCs w:val="0"/>
          <w:sz w:val="21"/>
          <w:szCs w:val="21"/>
          <w:lang w:val="en-US" w:eastAsia="zh-CN"/>
        </w:rPr>
        <w:t>承担纵向课题</w:t>
      </w:r>
      <w:r>
        <w:rPr>
          <w:rFonts w:hint="eastAsia" w:ascii="Times New Roman" w:hAnsi="Times New Roman" w:cs="Times New Roman"/>
          <w:b w:val="0"/>
          <w:bCs w:val="0"/>
          <w:sz w:val="21"/>
          <w:szCs w:val="21"/>
        </w:rPr>
        <w:t>情况</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925"/>
        <w:gridCol w:w="5118"/>
        <w:gridCol w:w="107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24"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负责人</w:t>
            </w:r>
          </w:p>
        </w:tc>
        <w:tc>
          <w:tcPr>
            <w:tcW w:w="3002" w:type="pct"/>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项目</w:t>
            </w:r>
            <w:r>
              <w:rPr>
                <w:rFonts w:hint="default" w:ascii="Times New Roman" w:hAnsi="Times New Roman" w:cs="Times New Roman"/>
                <w:sz w:val="21"/>
                <w:szCs w:val="21"/>
                <w:lang w:val="en-US" w:eastAsia="zh-CN"/>
              </w:rPr>
              <w:t>名称</w:t>
            </w:r>
          </w:p>
        </w:tc>
        <w:tc>
          <w:tcPr>
            <w:tcW w:w="628" w:type="pct"/>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项目级别</w:t>
            </w:r>
          </w:p>
        </w:tc>
        <w:tc>
          <w:tcPr>
            <w:tcW w:w="6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经费</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4"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1</w:t>
            </w: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田雪莹</w:t>
            </w:r>
          </w:p>
        </w:tc>
        <w:tc>
          <w:tcPr>
            <w:tcW w:w="3002" w:type="pct"/>
            <w:shd w:val="clear" w:color="auto" w:fill="auto"/>
            <w:noWrap/>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社会企业价值共创的驱动路径及对绩效的影响机制研究：基于上海的经验证据</w:t>
            </w:r>
          </w:p>
        </w:tc>
        <w:tc>
          <w:tcPr>
            <w:tcW w:w="628" w:type="pct"/>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省部级</w:t>
            </w:r>
          </w:p>
        </w:tc>
        <w:tc>
          <w:tcPr>
            <w:tcW w:w="6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24"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2</w:t>
            </w: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王静</w:t>
            </w:r>
          </w:p>
        </w:tc>
        <w:tc>
          <w:tcPr>
            <w:tcW w:w="3002" w:type="pct"/>
            <w:shd w:val="clear" w:color="auto" w:fill="auto"/>
            <w:noWrap/>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rPr>
              <w:t>优化松江区算力资源 助力产业发展与升级</w:t>
            </w:r>
          </w:p>
        </w:tc>
        <w:tc>
          <w:tcPr>
            <w:tcW w:w="628" w:type="pct"/>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委办级</w:t>
            </w:r>
          </w:p>
        </w:tc>
        <w:tc>
          <w:tcPr>
            <w:tcW w:w="600" w:type="pct"/>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r>
    </w:tbl>
    <w:p>
      <w:pPr>
        <w:spacing w:line="360" w:lineRule="auto"/>
        <w:jc w:val="center"/>
        <w:rPr>
          <w:rFonts w:hint="eastAsia" w:ascii="Times New Roman" w:hAnsi="Times New Roman" w:cs="Times New Roman"/>
          <w:b w:val="0"/>
          <w:bCs w:val="0"/>
          <w:sz w:val="21"/>
          <w:szCs w:val="21"/>
        </w:rPr>
      </w:pPr>
    </w:p>
    <w:p>
      <w:pPr>
        <w:spacing w:line="360" w:lineRule="auto"/>
        <w:jc w:val="center"/>
        <w:rPr>
          <w:rFonts w:hint="eastAsia" w:ascii="Times New Roman" w:hAnsi="Times New Roman" w:cs="Times New Roman"/>
          <w:b w:val="0"/>
          <w:bCs w:val="0"/>
          <w:sz w:val="21"/>
          <w:szCs w:val="21"/>
        </w:rPr>
      </w:pPr>
      <w:r>
        <w:rPr>
          <w:rFonts w:hint="eastAsia"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23</w:t>
      </w:r>
      <w:r>
        <w:rPr>
          <w:rFonts w:hint="eastAsia" w:ascii="Times New Roman" w:hAnsi="Times New Roman" w:cs="Times New Roman"/>
          <w:b w:val="0"/>
          <w:bCs w:val="0"/>
          <w:sz w:val="21"/>
          <w:szCs w:val="21"/>
        </w:rPr>
        <w:t xml:space="preserve"> 专业教师</w:t>
      </w:r>
      <w:r>
        <w:rPr>
          <w:rFonts w:hint="eastAsia" w:ascii="Times New Roman" w:hAnsi="Times New Roman" w:cs="Times New Roman"/>
          <w:b w:val="0"/>
          <w:bCs w:val="0"/>
          <w:sz w:val="21"/>
          <w:szCs w:val="21"/>
          <w:lang w:val="en-US" w:eastAsia="zh-CN"/>
        </w:rPr>
        <w:t>承担</w:t>
      </w:r>
      <w:r>
        <w:rPr>
          <w:rFonts w:hint="eastAsia" w:ascii="Times New Roman" w:hAnsi="Times New Roman" w:cs="Times New Roman"/>
          <w:b w:val="0"/>
          <w:bCs w:val="0"/>
          <w:sz w:val="21"/>
          <w:szCs w:val="21"/>
        </w:rPr>
        <w:t>横向课题情况</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6"/>
        <w:gridCol w:w="870"/>
        <w:gridCol w:w="3668"/>
        <w:gridCol w:w="742"/>
        <w:gridCol w:w="1740"/>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79"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序号</w:t>
            </w:r>
          </w:p>
        </w:tc>
        <w:tc>
          <w:tcPr>
            <w:tcW w:w="510"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负责人</w:t>
            </w:r>
          </w:p>
        </w:tc>
        <w:tc>
          <w:tcPr>
            <w:tcW w:w="2153"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项目名称</w:t>
            </w:r>
          </w:p>
        </w:tc>
        <w:tc>
          <w:tcPr>
            <w:tcW w:w="435"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类别</w:t>
            </w:r>
          </w:p>
        </w:tc>
        <w:tc>
          <w:tcPr>
            <w:tcW w:w="1021"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合同执行期</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经费</w:t>
            </w: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val="0"/>
                <w:bCs w:val="0"/>
                <w:color w:val="auto"/>
                <w:kern w:val="0"/>
                <w:sz w:val="21"/>
                <w:szCs w:val="21"/>
              </w:rPr>
            </w:pPr>
            <w:r>
              <w:rPr>
                <w:rFonts w:hint="eastAsia" w:ascii="宋体" w:hAnsi="宋体" w:cs="宋体"/>
                <w:b w:val="0"/>
                <w:bCs w:val="0"/>
                <w:color w:val="auto"/>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79"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b w:val="0"/>
                <w:bCs w:val="0"/>
                <w:color w:val="auto"/>
                <w:kern w:val="0"/>
                <w:sz w:val="21"/>
                <w:szCs w:val="21"/>
              </w:rPr>
            </w:pPr>
            <w:r>
              <w:rPr>
                <w:rFonts w:ascii="Times New Roman" w:hAnsi="Times New Roman"/>
                <w:b w:val="0"/>
                <w:bCs w:val="0"/>
                <w:color w:val="auto"/>
                <w:kern w:val="0"/>
                <w:sz w:val="21"/>
                <w:szCs w:val="21"/>
              </w:rPr>
              <w:t>1</w:t>
            </w:r>
          </w:p>
        </w:tc>
        <w:tc>
          <w:tcPr>
            <w:tcW w:w="510"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b w:val="0"/>
                <w:bCs w:val="0"/>
                <w:color w:val="auto"/>
                <w:kern w:val="0"/>
                <w:sz w:val="21"/>
                <w:szCs w:val="21"/>
              </w:rPr>
            </w:pPr>
            <w:r>
              <w:rPr>
                <w:rFonts w:hint="eastAsia" w:ascii="Times New Roman" w:hAnsi="Times New Roman"/>
                <w:b w:val="0"/>
                <w:bCs w:val="0"/>
                <w:color w:val="auto"/>
                <w:kern w:val="0"/>
                <w:sz w:val="21"/>
                <w:szCs w:val="21"/>
              </w:rPr>
              <w:t>邵明</w:t>
            </w:r>
          </w:p>
        </w:tc>
        <w:tc>
          <w:tcPr>
            <w:tcW w:w="2153" w:type="pct"/>
            <w:shd w:val="clear" w:color="auto" w:fill="auto"/>
            <w:vAlign w:val="center"/>
          </w:tcPr>
          <w:p>
            <w:pPr>
              <w:jc w:val="center"/>
              <w:rPr>
                <w:rFonts w:ascii="Times New Roman" w:hAnsi="Times New Roman"/>
                <w:b w:val="0"/>
                <w:bCs w:val="0"/>
                <w:color w:val="auto"/>
                <w:kern w:val="0"/>
                <w:sz w:val="21"/>
                <w:szCs w:val="21"/>
              </w:rPr>
            </w:pPr>
            <w:r>
              <w:rPr>
                <w:rFonts w:hint="eastAsia" w:ascii="Times New Roman" w:hAnsi="Times New Roman"/>
                <w:b w:val="0"/>
                <w:bCs w:val="0"/>
                <w:color w:val="auto"/>
                <w:kern w:val="0"/>
                <w:sz w:val="21"/>
                <w:szCs w:val="21"/>
              </w:rPr>
              <w:t>我国贫困地区农产品上行路径研究</w:t>
            </w:r>
          </w:p>
        </w:tc>
        <w:tc>
          <w:tcPr>
            <w:tcW w:w="435"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b w:val="0"/>
                <w:bCs w:val="0"/>
                <w:color w:val="auto"/>
                <w:kern w:val="0"/>
                <w:sz w:val="21"/>
                <w:szCs w:val="21"/>
              </w:rPr>
            </w:pPr>
            <w:r>
              <w:rPr>
                <w:rFonts w:hint="eastAsia" w:ascii="Times New Roman" w:hAnsi="Times New Roman"/>
                <w:b w:val="0"/>
                <w:bCs w:val="0"/>
                <w:color w:val="auto"/>
                <w:kern w:val="0"/>
                <w:sz w:val="21"/>
                <w:szCs w:val="21"/>
                <w:lang w:val="en-US" w:eastAsia="zh-CN"/>
              </w:rPr>
              <w:t>技术</w:t>
            </w:r>
            <w:r>
              <w:rPr>
                <w:rFonts w:ascii="Times New Roman" w:hAnsi="Times New Roman"/>
                <w:b w:val="0"/>
                <w:bCs w:val="0"/>
                <w:color w:val="auto"/>
                <w:kern w:val="0"/>
                <w:sz w:val="21"/>
                <w:szCs w:val="21"/>
              </w:rPr>
              <w:t>咨询</w:t>
            </w:r>
          </w:p>
        </w:tc>
        <w:tc>
          <w:tcPr>
            <w:tcW w:w="1021"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b w:val="0"/>
                <w:bCs w:val="0"/>
                <w:color w:val="auto"/>
                <w:kern w:val="0"/>
                <w:sz w:val="21"/>
                <w:szCs w:val="21"/>
              </w:rPr>
            </w:pPr>
            <w:r>
              <w:rPr>
                <w:rFonts w:hint="eastAsia" w:ascii="Times New Roman" w:hAnsi="Times New Roman" w:eastAsia="仿宋"/>
                <w:b w:val="0"/>
                <w:bCs w:val="0"/>
                <w:color w:val="auto"/>
                <w:kern w:val="0"/>
                <w:sz w:val="21"/>
                <w:szCs w:val="21"/>
              </w:rPr>
              <w:t>2019.1-20</w:t>
            </w:r>
            <w:r>
              <w:rPr>
                <w:rFonts w:ascii="Times New Roman" w:hAnsi="Times New Roman" w:eastAsia="仿宋"/>
                <w:b w:val="0"/>
                <w:bCs w:val="0"/>
                <w:color w:val="auto"/>
                <w:kern w:val="0"/>
                <w:sz w:val="21"/>
                <w:szCs w:val="21"/>
              </w:rPr>
              <w:t>22</w:t>
            </w:r>
            <w:r>
              <w:rPr>
                <w:rFonts w:hint="eastAsia" w:ascii="Times New Roman" w:hAnsi="Times New Roman" w:eastAsia="仿宋"/>
                <w:b w:val="0"/>
                <w:bCs w:val="0"/>
                <w:color w:val="auto"/>
                <w:kern w:val="0"/>
                <w:sz w:val="21"/>
                <w:szCs w:val="21"/>
              </w:rPr>
              <w:t>.12</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b w:val="0"/>
                <w:bCs w:val="0"/>
                <w:color w:val="auto"/>
                <w:kern w:val="0"/>
                <w:sz w:val="21"/>
                <w:szCs w:val="21"/>
              </w:rPr>
            </w:pPr>
            <w:r>
              <w:rPr>
                <w:rFonts w:hint="eastAsia" w:ascii="Times New Roman" w:hAnsi="Times New Roman"/>
                <w:b w:val="0"/>
                <w:bCs w:val="0"/>
                <w:color w:val="auto"/>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79"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宋体"/>
                <w:b w:val="0"/>
                <w:bCs w:val="0"/>
                <w:color w:val="auto"/>
                <w:kern w:val="0"/>
                <w:sz w:val="21"/>
                <w:szCs w:val="21"/>
                <w:lang w:val="en-US" w:eastAsia="zh-CN" w:bidi="ar-SA"/>
              </w:rPr>
            </w:pPr>
            <w:r>
              <w:rPr>
                <w:rFonts w:ascii="Times New Roman" w:hAnsi="Times New Roman"/>
                <w:b w:val="0"/>
                <w:bCs w:val="0"/>
                <w:color w:val="auto"/>
                <w:kern w:val="0"/>
                <w:sz w:val="21"/>
                <w:szCs w:val="21"/>
              </w:rPr>
              <w:t>2</w:t>
            </w:r>
          </w:p>
        </w:tc>
        <w:tc>
          <w:tcPr>
            <w:tcW w:w="510"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ascii="Times New Roman" w:hAnsi="Times New Roman"/>
                <w:b w:val="0"/>
                <w:bCs w:val="0"/>
                <w:color w:val="auto"/>
                <w:kern w:val="0"/>
                <w:sz w:val="21"/>
                <w:szCs w:val="21"/>
              </w:rPr>
              <w:t>刘颖</w:t>
            </w:r>
          </w:p>
        </w:tc>
        <w:tc>
          <w:tcPr>
            <w:tcW w:w="2153" w:type="pct"/>
            <w:shd w:val="clear" w:color="auto" w:fill="auto"/>
            <w:vAlign w:val="center"/>
          </w:tcPr>
          <w:p>
            <w:pPr>
              <w:jc w:val="center"/>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rPr>
              <w:t>上海徐寓公司发展战略研究</w:t>
            </w:r>
          </w:p>
        </w:tc>
        <w:tc>
          <w:tcPr>
            <w:tcW w:w="435"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rPr>
              <w:t>技术</w:t>
            </w:r>
            <w:r>
              <w:rPr>
                <w:rFonts w:ascii="Times New Roman" w:hAnsi="Times New Roman"/>
                <w:b w:val="0"/>
                <w:bCs w:val="0"/>
                <w:color w:val="auto"/>
                <w:kern w:val="0"/>
                <w:sz w:val="21"/>
                <w:szCs w:val="21"/>
              </w:rPr>
              <w:t>咨询</w:t>
            </w:r>
          </w:p>
        </w:tc>
        <w:tc>
          <w:tcPr>
            <w:tcW w:w="1021"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ascii="Times New Roman" w:hAnsi="Times New Roman"/>
                <w:b w:val="0"/>
                <w:bCs w:val="0"/>
                <w:color w:val="auto"/>
                <w:kern w:val="0"/>
                <w:sz w:val="21"/>
                <w:szCs w:val="21"/>
              </w:rPr>
              <w:t>20</w:t>
            </w:r>
            <w:r>
              <w:rPr>
                <w:rFonts w:hint="eastAsia" w:ascii="Times New Roman" w:hAnsi="Times New Roman"/>
                <w:b w:val="0"/>
                <w:bCs w:val="0"/>
                <w:color w:val="auto"/>
                <w:kern w:val="0"/>
                <w:sz w:val="21"/>
                <w:szCs w:val="21"/>
              </w:rPr>
              <w:t>20</w:t>
            </w:r>
            <w:r>
              <w:rPr>
                <w:rFonts w:ascii="Times New Roman" w:hAnsi="Times New Roman"/>
                <w:b w:val="0"/>
                <w:bCs w:val="0"/>
                <w:color w:val="auto"/>
                <w:kern w:val="0"/>
                <w:sz w:val="21"/>
                <w:szCs w:val="21"/>
              </w:rPr>
              <w:t>.1</w:t>
            </w:r>
            <w:r>
              <w:rPr>
                <w:rFonts w:hint="eastAsia" w:ascii="Times New Roman" w:hAnsi="Times New Roman"/>
                <w:b w:val="0"/>
                <w:bCs w:val="0"/>
                <w:color w:val="auto"/>
                <w:kern w:val="0"/>
                <w:sz w:val="21"/>
                <w:szCs w:val="21"/>
              </w:rPr>
              <w:t>1</w:t>
            </w:r>
            <w:r>
              <w:rPr>
                <w:rFonts w:ascii="Times New Roman" w:hAnsi="Times New Roman"/>
                <w:b w:val="0"/>
                <w:bCs w:val="0"/>
                <w:color w:val="auto"/>
                <w:kern w:val="0"/>
                <w:sz w:val="21"/>
                <w:szCs w:val="21"/>
              </w:rPr>
              <w:t>-20</w:t>
            </w:r>
            <w:r>
              <w:rPr>
                <w:rFonts w:hint="eastAsia" w:ascii="Times New Roman" w:hAnsi="Times New Roman"/>
                <w:b w:val="0"/>
                <w:bCs w:val="0"/>
                <w:color w:val="auto"/>
                <w:kern w:val="0"/>
                <w:sz w:val="21"/>
                <w:szCs w:val="21"/>
              </w:rPr>
              <w:t>2</w:t>
            </w:r>
            <w:r>
              <w:rPr>
                <w:rFonts w:ascii="Times New Roman" w:hAnsi="Times New Roman"/>
                <w:b w:val="0"/>
                <w:bCs w:val="0"/>
                <w:color w:val="auto"/>
                <w:kern w:val="0"/>
                <w:sz w:val="21"/>
                <w:szCs w:val="21"/>
              </w:rPr>
              <w:t>2.</w:t>
            </w:r>
            <w:r>
              <w:rPr>
                <w:rFonts w:hint="eastAsia" w:ascii="Times New Roman" w:hAnsi="Times New Roman"/>
                <w:b w:val="0"/>
                <w:bCs w:val="0"/>
                <w:color w:val="auto"/>
                <w:kern w:val="0"/>
                <w:sz w:val="21"/>
                <w:szCs w:val="21"/>
              </w:rPr>
              <w:t>7</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ascii="Times New Roman" w:hAnsi="Times New Roman"/>
                <w:b w:val="0"/>
                <w:bCs w:val="0"/>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79"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rPr>
              <w:t>3</w:t>
            </w:r>
          </w:p>
        </w:tc>
        <w:tc>
          <w:tcPr>
            <w:tcW w:w="510"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rPr>
              <w:t>刘颖</w:t>
            </w:r>
          </w:p>
        </w:tc>
        <w:tc>
          <w:tcPr>
            <w:tcW w:w="2153" w:type="pct"/>
            <w:shd w:val="clear" w:color="auto" w:fill="auto"/>
            <w:vAlign w:val="center"/>
          </w:tcPr>
          <w:p>
            <w:pPr>
              <w:jc w:val="center"/>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rPr>
              <w:t>上海管理咨询行业服务与经营模式创新研究</w:t>
            </w:r>
          </w:p>
        </w:tc>
        <w:tc>
          <w:tcPr>
            <w:tcW w:w="435"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rPr>
              <w:t>技术</w:t>
            </w:r>
            <w:r>
              <w:rPr>
                <w:rFonts w:hint="eastAsia" w:ascii="Times New Roman" w:hAnsi="Times New Roman"/>
                <w:b w:val="0"/>
                <w:bCs w:val="0"/>
                <w:color w:val="auto"/>
                <w:kern w:val="0"/>
                <w:sz w:val="21"/>
                <w:szCs w:val="21"/>
              </w:rPr>
              <w:t>咨询</w:t>
            </w:r>
          </w:p>
        </w:tc>
        <w:tc>
          <w:tcPr>
            <w:tcW w:w="1021"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rPr>
              <w:t>2022.10-2024.12</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79"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rPr>
              <w:t>4</w:t>
            </w:r>
          </w:p>
        </w:tc>
        <w:tc>
          <w:tcPr>
            <w:tcW w:w="510"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rPr>
              <w:t>朱强</w:t>
            </w:r>
          </w:p>
        </w:tc>
        <w:tc>
          <w:tcPr>
            <w:tcW w:w="2153"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rPr>
              <w:t>农产品区域公用品牌创建与定位研究</w:t>
            </w:r>
          </w:p>
        </w:tc>
        <w:tc>
          <w:tcPr>
            <w:tcW w:w="435"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rPr>
              <w:t>技术咨询</w:t>
            </w:r>
          </w:p>
        </w:tc>
        <w:tc>
          <w:tcPr>
            <w:tcW w:w="1021"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rPr>
              <w:t>2023.11-2024.11</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79"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rPr>
              <w:t>5</w:t>
            </w:r>
          </w:p>
        </w:tc>
        <w:tc>
          <w:tcPr>
            <w:tcW w:w="510"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rPr>
              <w:t>田雪莹</w:t>
            </w:r>
          </w:p>
        </w:tc>
        <w:tc>
          <w:tcPr>
            <w:tcW w:w="2153"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eastAsia="zh-CN"/>
              </w:rPr>
              <w:t>社群营销与数字化运营体系建设</w:t>
            </w:r>
          </w:p>
        </w:tc>
        <w:tc>
          <w:tcPr>
            <w:tcW w:w="435"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rPr>
              <w:t>技术咨询</w:t>
            </w:r>
          </w:p>
        </w:tc>
        <w:tc>
          <w:tcPr>
            <w:tcW w:w="1021"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rPr>
              <w:t>2022.10=2023.10</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rPr>
              <w:t>5</w:t>
            </w:r>
          </w:p>
        </w:tc>
      </w:tr>
    </w:tbl>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w:t>
      </w:r>
      <w:r>
        <w:rPr>
          <w:rFonts w:hint="eastAsia" w:ascii="宋体" w:hAnsi="宋体" w:eastAsia="宋体" w:cstheme="minorBidi"/>
          <w:b w:val="0"/>
          <w:bCs w:val="0"/>
          <w:kern w:val="2"/>
          <w:sz w:val="24"/>
          <w:szCs w:val="24"/>
          <w:lang w:val="en-US" w:eastAsia="zh-CN"/>
        </w:rPr>
        <w:t>4</w:t>
      </w:r>
      <w:r>
        <w:rPr>
          <w:rFonts w:ascii="宋体" w:hAnsi="宋体" w:eastAsia="宋体" w:cstheme="minorBidi"/>
          <w:b w:val="0"/>
          <w:bCs w:val="0"/>
          <w:kern w:val="2"/>
          <w:sz w:val="24"/>
          <w:szCs w:val="24"/>
        </w:rPr>
        <w:t>教师</w:t>
      </w:r>
      <w:r>
        <w:rPr>
          <w:rFonts w:hint="eastAsia" w:ascii="宋体" w:hAnsi="宋体" w:eastAsia="宋体" w:cstheme="minorBidi"/>
          <w:b w:val="0"/>
          <w:bCs w:val="0"/>
          <w:kern w:val="2"/>
          <w:sz w:val="24"/>
          <w:szCs w:val="24"/>
          <w:lang w:val="en-US" w:eastAsia="zh-CN"/>
        </w:rPr>
        <w:t>发表科研论文</w:t>
      </w:r>
      <w:r>
        <w:rPr>
          <w:rFonts w:ascii="宋体" w:hAnsi="宋体" w:eastAsia="宋体" w:cstheme="minorBidi"/>
          <w:b w:val="0"/>
          <w:bCs w:val="0"/>
          <w:kern w:val="2"/>
          <w:sz w:val="24"/>
          <w:szCs w:val="24"/>
        </w:rPr>
        <w:t>情况</w:t>
      </w:r>
    </w:p>
    <w:p>
      <w:pPr>
        <w:adjustRightInd w:val="0"/>
        <w:snapToGrid w:val="0"/>
        <w:spacing w:line="400" w:lineRule="exact"/>
        <w:ind w:firstLine="475" w:firstLineChars="198"/>
        <w:rPr>
          <w:rFonts w:hint="eastAsia" w:ascii="Times New Roman" w:hAnsi="Times New Roman"/>
          <w:kern w:val="0"/>
          <w:sz w:val="24"/>
          <w:highlight w:val="none"/>
          <w:lang w:eastAsia="zh-CN"/>
        </w:rPr>
      </w:pPr>
      <w:r>
        <w:rPr>
          <w:rFonts w:hint="eastAsia" w:ascii="Times New Roman" w:hAnsi="Times New Roman"/>
          <w:kern w:val="0"/>
          <w:sz w:val="24"/>
          <w:highlight w:val="none"/>
          <w:lang w:val="en-US" w:eastAsia="zh-CN"/>
        </w:rPr>
        <w:t>2022-2023年度专业教师</w:t>
      </w:r>
      <w:r>
        <w:rPr>
          <w:rFonts w:ascii="Times New Roman" w:hAnsi="Times New Roman"/>
          <w:kern w:val="0"/>
          <w:sz w:val="24"/>
          <w:highlight w:val="none"/>
        </w:rPr>
        <w:t>发表</w:t>
      </w:r>
      <w:r>
        <w:rPr>
          <w:rFonts w:hint="eastAsia" w:ascii="Times New Roman" w:hAnsi="Times New Roman"/>
          <w:kern w:val="0"/>
          <w:sz w:val="24"/>
          <w:highlight w:val="none"/>
          <w:lang w:val="en-US" w:eastAsia="zh-CN"/>
        </w:rPr>
        <w:t>十余</w:t>
      </w:r>
      <w:r>
        <w:rPr>
          <w:rFonts w:ascii="Times New Roman" w:hAnsi="Times New Roman"/>
          <w:kern w:val="0"/>
          <w:sz w:val="24"/>
          <w:highlight w:val="none"/>
        </w:rPr>
        <w:t>篇科研论文</w:t>
      </w:r>
      <w:r>
        <w:rPr>
          <w:rFonts w:hint="eastAsia" w:ascii="Times New Roman" w:hAnsi="Times New Roman"/>
          <w:kern w:val="0"/>
          <w:sz w:val="24"/>
          <w:highlight w:val="none"/>
          <w:lang w:eastAsia="zh-CN"/>
        </w:rPr>
        <w:t>。</w:t>
      </w:r>
    </w:p>
    <w:p>
      <w:pPr>
        <w:adjustRightInd w:val="0"/>
        <w:snapToGrid w:val="0"/>
        <w:spacing w:line="400" w:lineRule="exact"/>
        <w:jc w:val="center"/>
        <w:rPr>
          <w:rFonts w:hint="eastAsia" w:ascii="Times New Roman" w:hAnsi="Times New Roman"/>
          <w:kern w:val="0"/>
          <w:sz w:val="24"/>
          <w:highlight w:val="none"/>
          <w:lang w:eastAsia="zh-CN"/>
        </w:rPr>
      </w:pPr>
      <w:r>
        <w:rPr>
          <w:rFonts w:hint="eastAsia" w:ascii="Times New Roman" w:hAnsi="Times New Roman" w:eastAsia="宋体" w:cs="Times New Roman"/>
          <w:b w:val="0"/>
          <w:bCs w:val="0"/>
          <w:sz w:val="21"/>
          <w:szCs w:val="21"/>
        </w:rPr>
        <w:t>表</w:t>
      </w:r>
      <w:r>
        <w:rPr>
          <w:rFonts w:hint="eastAsia" w:ascii="Times New Roman" w:hAnsi="Times New Roman" w:eastAsia="宋体" w:cs="Times New Roman"/>
          <w:b w:val="0"/>
          <w:bCs w:val="0"/>
          <w:sz w:val="21"/>
          <w:szCs w:val="21"/>
          <w:lang w:val="en-US" w:eastAsia="zh-CN"/>
        </w:rPr>
        <w:t>2</w:t>
      </w:r>
      <w:r>
        <w:rPr>
          <w:rFonts w:hint="eastAsia" w:ascii="Times New Roman" w:hAnsi="Times New Roman" w:cs="Times New Roman"/>
          <w:b w:val="0"/>
          <w:bCs w:val="0"/>
          <w:sz w:val="21"/>
          <w:szCs w:val="21"/>
          <w:lang w:val="en-US" w:eastAsia="zh-CN"/>
        </w:rPr>
        <w:t>4</w:t>
      </w:r>
      <w:r>
        <w:rPr>
          <w:rFonts w:hint="eastAsia" w:ascii="Times New Roman" w:hAnsi="Times New Roman" w:eastAsia="宋体" w:cs="Times New Roman"/>
          <w:b w:val="0"/>
          <w:bCs w:val="0"/>
          <w:sz w:val="21"/>
          <w:szCs w:val="21"/>
        </w:rPr>
        <w:t xml:space="preserve"> 专业教师发表的科研论文</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5"/>
        <w:gridCol w:w="4102"/>
        <w:gridCol w:w="1968"/>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313" w:type="pct"/>
            <w:shd w:val="clear" w:color="auto" w:fill="auto"/>
            <w:noWrap/>
            <w:vAlign w:val="center"/>
          </w:tcPr>
          <w:p>
            <w:pPr>
              <w:widowControl/>
              <w:adjustRightInd w:val="0"/>
              <w:snapToGrid w:val="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序号</w:t>
            </w:r>
          </w:p>
        </w:tc>
        <w:tc>
          <w:tcPr>
            <w:tcW w:w="2406" w:type="pct"/>
            <w:shd w:val="clear" w:color="auto" w:fill="auto"/>
            <w:noWrap/>
            <w:vAlign w:val="center"/>
          </w:tcPr>
          <w:p>
            <w:pPr>
              <w:widowControl/>
              <w:adjustRightInd w:val="0"/>
              <w:snapToGrid w:val="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论文题目</w:t>
            </w:r>
          </w:p>
        </w:tc>
        <w:tc>
          <w:tcPr>
            <w:tcW w:w="1154" w:type="pct"/>
            <w:shd w:val="clear" w:color="auto" w:fill="auto"/>
            <w:noWrap/>
            <w:vAlign w:val="center"/>
          </w:tcPr>
          <w:p>
            <w:pPr>
              <w:widowControl/>
              <w:adjustRightInd w:val="0"/>
              <w:snapToGrid w:val="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作者</w:t>
            </w:r>
          </w:p>
        </w:tc>
        <w:tc>
          <w:tcPr>
            <w:tcW w:w="1124" w:type="pct"/>
            <w:shd w:val="clear" w:color="auto" w:fill="auto"/>
            <w:noWrap/>
            <w:vAlign w:val="center"/>
          </w:tcPr>
          <w:p>
            <w:pPr>
              <w:widowControl/>
              <w:adjustRightInd w:val="0"/>
              <w:snapToGrid w:val="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发表刊物/论文集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313" w:type="pct"/>
            <w:shd w:val="clear" w:color="auto" w:fill="auto"/>
            <w:noWrap/>
            <w:vAlign w:val="center"/>
          </w:tcPr>
          <w:p>
            <w:pPr>
              <w:widowControl/>
              <w:adjustRightInd w:val="0"/>
              <w:snapToGrid w:val="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1</w:t>
            </w:r>
          </w:p>
        </w:tc>
        <w:tc>
          <w:tcPr>
            <w:tcW w:w="2406" w:type="pct"/>
            <w:shd w:val="clear" w:color="auto" w:fill="auto"/>
            <w:noWrap/>
            <w:vAlign w:val="center"/>
          </w:tcPr>
          <w:p>
            <w:pPr>
              <w:widowControl/>
              <w:shd w:val="clear" w:color="auto" w:fill="FFFFFF"/>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众包竞争下资源稀缺对参与者创造力的影响研究</w:t>
            </w:r>
          </w:p>
        </w:tc>
        <w:tc>
          <w:tcPr>
            <w:tcW w:w="1154"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王静，刘尊礼，朱强</w:t>
            </w:r>
          </w:p>
        </w:tc>
        <w:tc>
          <w:tcPr>
            <w:tcW w:w="1124" w:type="pct"/>
            <w:shd w:val="clear" w:color="auto" w:fill="auto"/>
            <w:noWrap/>
            <w:vAlign w:val="center"/>
          </w:tcPr>
          <w:p>
            <w:pPr>
              <w:autoSpaceDE w:val="0"/>
              <w:autoSpaceDN w:val="0"/>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313" w:type="pct"/>
            <w:shd w:val="clear" w:color="auto" w:fill="auto"/>
            <w:noWrap/>
            <w:vAlign w:val="center"/>
          </w:tcPr>
          <w:p>
            <w:pPr>
              <w:widowControl/>
              <w:adjustRightInd w:val="0"/>
              <w:snapToGrid w:val="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2</w:t>
            </w:r>
          </w:p>
        </w:tc>
        <w:tc>
          <w:tcPr>
            <w:tcW w:w="2406"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价值共创对社会企业绩效的影响研究——认知距离和资源拼凑的链式中介作用</w:t>
            </w:r>
          </w:p>
        </w:tc>
        <w:tc>
          <w:tcPr>
            <w:tcW w:w="1154"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田雪莹</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黄旭</w:t>
            </w:r>
          </w:p>
        </w:tc>
        <w:tc>
          <w:tcPr>
            <w:tcW w:w="1124" w:type="pct"/>
            <w:shd w:val="clear" w:color="auto" w:fill="auto"/>
            <w:noWrap/>
            <w:vAlign w:val="center"/>
          </w:tcPr>
          <w:p>
            <w:pPr>
              <w:autoSpaceDE w:val="0"/>
              <w:autoSpaceDN w:val="0"/>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sz w:val="21"/>
                <w:szCs w:val="21"/>
              </w:rPr>
              <w:t>商业经济研究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313" w:type="pct"/>
            <w:shd w:val="clear" w:color="auto" w:fill="auto"/>
            <w:noWrap/>
            <w:vAlign w:val="center"/>
          </w:tcPr>
          <w:p>
            <w:pPr>
              <w:widowControl/>
              <w:adjustRightInd w:val="0"/>
              <w:snapToGrid w:val="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3</w:t>
            </w:r>
          </w:p>
        </w:tc>
        <w:tc>
          <w:tcPr>
            <w:tcW w:w="2406"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企业社会责任对员工组织认同的影响</w:t>
            </w:r>
          </w:p>
        </w:tc>
        <w:tc>
          <w:tcPr>
            <w:tcW w:w="1154" w:type="pct"/>
            <w:shd w:val="clear" w:color="auto" w:fill="auto"/>
            <w:noWrap/>
            <w:vAlign w:val="center"/>
          </w:tcPr>
          <w:p>
            <w:pPr>
              <w:widowControl/>
              <w:shd w:val="clear" w:color="auto" w:fill="FFFFFF"/>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sz w:val="21"/>
                <w:szCs w:val="21"/>
              </w:rPr>
              <w:t>田雪莹</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黄旭</w:t>
            </w:r>
          </w:p>
        </w:tc>
        <w:tc>
          <w:tcPr>
            <w:tcW w:w="1124" w:type="pct"/>
            <w:shd w:val="clear" w:color="auto" w:fill="auto"/>
            <w:noWrap/>
            <w:vAlign w:val="center"/>
          </w:tcPr>
          <w:p>
            <w:pPr>
              <w:autoSpaceDE w:val="0"/>
              <w:autoSpaceDN w:val="0"/>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sz w:val="21"/>
                <w:szCs w:val="21"/>
              </w:rPr>
              <w:t>合作经济与科技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313" w:type="pct"/>
            <w:shd w:val="clear" w:color="auto" w:fill="auto"/>
            <w:noWrap/>
            <w:vAlign w:val="center"/>
          </w:tcPr>
          <w:p>
            <w:pPr>
              <w:widowControl/>
              <w:adjustRightInd w:val="0"/>
              <w:snapToGrid w:val="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4</w:t>
            </w:r>
          </w:p>
        </w:tc>
        <w:tc>
          <w:tcPr>
            <w:tcW w:w="2406"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区块链赋能下电商平台的网络效应重构与定价研究</w:t>
            </w:r>
          </w:p>
        </w:tc>
        <w:tc>
          <w:tcPr>
            <w:tcW w:w="1154" w:type="pct"/>
            <w:shd w:val="clear" w:color="auto" w:fill="auto"/>
            <w:noWrap/>
            <w:vAlign w:val="center"/>
          </w:tcPr>
          <w:p>
            <w:pPr>
              <w:widowControl/>
              <w:shd w:val="clear" w:color="auto" w:fill="FFFFFF"/>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sz w:val="21"/>
                <w:szCs w:val="21"/>
              </w:rPr>
              <w:t>王静</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李永林</w:t>
            </w:r>
          </w:p>
        </w:tc>
        <w:tc>
          <w:tcPr>
            <w:tcW w:w="1124" w:type="pct"/>
            <w:shd w:val="clear" w:color="auto" w:fill="auto"/>
            <w:noWrap/>
            <w:vAlign w:val="center"/>
          </w:tcPr>
          <w:p>
            <w:pPr>
              <w:autoSpaceDE w:val="0"/>
              <w:autoSpaceDN w:val="0"/>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sz w:val="21"/>
                <w:szCs w:val="21"/>
              </w:rPr>
              <w:t>技术与创新管理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313" w:type="pct"/>
            <w:shd w:val="clear" w:color="auto" w:fill="auto"/>
            <w:noWrap/>
            <w:vAlign w:val="center"/>
          </w:tcPr>
          <w:p>
            <w:pPr>
              <w:widowControl/>
              <w:adjustRightInd w:val="0"/>
              <w:snapToGrid w:val="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5</w:t>
            </w:r>
          </w:p>
        </w:tc>
        <w:tc>
          <w:tcPr>
            <w:tcW w:w="2406"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 女性创业者禀赋对社会企业绩效的影响研究</w:t>
            </w:r>
          </w:p>
        </w:tc>
        <w:tc>
          <w:tcPr>
            <w:tcW w:w="1154" w:type="pct"/>
            <w:shd w:val="clear" w:color="auto" w:fill="auto"/>
            <w:noWrap/>
            <w:vAlign w:val="center"/>
          </w:tcPr>
          <w:p>
            <w:pPr>
              <w:widowControl/>
              <w:shd w:val="clear" w:color="auto" w:fill="FFFFFF"/>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sz w:val="21"/>
                <w:szCs w:val="21"/>
              </w:rPr>
              <w:t>王昱莲</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田雪莹</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王译莹</w:t>
            </w:r>
          </w:p>
        </w:tc>
        <w:tc>
          <w:tcPr>
            <w:tcW w:w="1124" w:type="pct"/>
            <w:shd w:val="clear" w:color="auto" w:fill="auto"/>
            <w:noWrap/>
            <w:vAlign w:val="center"/>
          </w:tcPr>
          <w:p>
            <w:pPr>
              <w:autoSpaceDE w:val="0"/>
              <w:autoSpaceDN w:val="0"/>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sz w:val="21"/>
                <w:szCs w:val="21"/>
              </w:rPr>
              <w:t>科学与管理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313" w:type="pct"/>
            <w:shd w:val="clear" w:color="auto" w:fill="auto"/>
            <w:noWrap/>
            <w:vAlign w:val="center"/>
          </w:tcPr>
          <w:p>
            <w:pPr>
              <w:widowControl/>
              <w:adjustRightInd w:val="0"/>
              <w:snapToGrid w:val="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6</w:t>
            </w:r>
          </w:p>
        </w:tc>
        <w:tc>
          <w:tcPr>
            <w:tcW w:w="2406"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 社会企业与商业企业的跨组织合作——基于深圳残友集团的案例研究</w:t>
            </w:r>
          </w:p>
        </w:tc>
        <w:tc>
          <w:tcPr>
            <w:tcW w:w="1154" w:type="pct"/>
            <w:shd w:val="clear" w:color="auto" w:fill="auto"/>
            <w:noWrap/>
            <w:vAlign w:val="center"/>
          </w:tcPr>
          <w:p>
            <w:pPr>
              <w:widowControl/>
              <w:shd w:val="clear" w:color="auto" w:fill="FFFFFF"/>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sz w:val="21"/>
                <w:szCs w:val="21"/>
              </w:rPr>
              <w:t>曹杰</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田雪莹</w:t>
            </w:r>
          </w:p>
        </w:tc>
        <w:tc>
          <w:tcPr>
            <w:tcW w:w="1124" w:type="pct"/>
            <w:shd w:val="clear" w:color="auto" w:fill="auto"/>
            <w:noWrap/>
            <w:vAlign w:val="center"/>
          </w:tcPr>
          <w:p>
            <w:pPr>
              <w:autoSpaceDE w:val="0"/>
              <w:autoSpaceDN w:val="0"/>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sz w:val="21"/>
                <w:szCs w:val="21"/>
              </w:rPr>
              <w:t>科技创业月刊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313"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7</w:t>
            </w:r>
          </w:p>
        </w:tc>
        <w:tc>
          <w:tcPr>
            <w:tcW w:w="2406"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 论全球城市文化网络的演进趋势与运作规律</w:t>
            </w:r>
          </w:p>
        </w:tc>
        <w:tc>
          <w:tcPr>
            <w:tcW w:w="1154"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秦迎林</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孟勇</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朱强等</w:t>
            </w:r>
          </w:p>
        </w:tc>
        <w:tc>
          <w:tcPr>
            <w:tcW w:w="1124" w:type="pct"/>
            <w:shd w:val="clear" w:color="auto" w:fill="auto"/>
            <w:noWrap/>
            <w:vAlign w:val="center"/>
          </w:tcPr>
          <w:p>
            <w:pPr>
              <w:autoSpaceDE w:val="0"/>
              <w:autoSpaceDN w:val="0"/>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auto"/>
                <w:sz w:val="21"/>
                <w:szCs w:val="21"/>
              </w:rPr>
              <w:t>全球城市研究(中英文)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3"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8</w:t>
            </w:r>
          </w:p>
        </w:tc>
        <w:tc>
          <w:tcPr>
            <w:tcW w:w="2406"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交通运输企业管理会计工具的应用对企业绩效的影响</w:t>
            </w:r>
          </w:p>
        </w:tc>
        <w:tc>
          <w:tcPr>
            <w:tcW w:w="1154"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fldChar w:fldCharType="begin"/>
            </w:r>
            <w:r>
              <w:rPr>
                <w:rFonts w:hint="eastAsia" w:ascii="Times New Roman" w:hAnsi="Times New Roman" w:eastAsia="宋体" w:cs="Times New Roman"/>
                <w:b w:val="0"/>
                <w:bCs w:val="0"/>
                <w:color w:val="auto"/>
                <w:sz w:val="21"/>
                <w:szCs w:val="21"/>
                <w:lang w:val="en-US" w:eastAsia="zh-CN"/>
              </w:rPr>
              <w:instrText xml:space="preserve"> HYPERLINK "https://kns.cnki.net/kcms2/author/detail?v=tJ8vF22QX-p31wqycocsO6CC0E6-MlfICro8VlcKDbx7ak4KBTPfPEtyWHAzAxBwmPvaE-Q5AzO0UItduLAh9aPmVHhiz9tv7bTPebsl3FjlItbjNIdygZvCAIiatVD7&amp;uniplatform=NZKPT&amp;language=CHS" \t "https://kns.cnki.net/kns8s/knet" </w:instrText>
            </w:r>
            <w:r>
              <w:rPr>
                <w:rFonts w:hint="eastAsia" w:ascii="Times New Roman" w:hAnsi="Times New Roman" w:eastAsia="宋体" w:cs="Times New Roman"/>
                <w:b w:val="0"/>
                <w:bCs w:val="0"/>
                <w:color w:val="auto"/>
                <w:sz w:val="21"/>
                <w:szCs w:val="21"/>
                <w:lang w:val="en-US" w:eastAsia="zh-CN"/>
              </w:rPr>
              <w:fldChar w:fldCharType="separate"/>
            </w:r>
            <w:r>
              <w:rPr>
                <w:rFonts w:hint="eastAsia" w:ascii="Times New Roman" w:hAnsi="Times New Roman" w:eastAsia="宋体" w:cs="Times New Roman"/>
                <w:b w:val="0"/>
                <w:bCs w:val="0"/>
                <w:color w:val="auto"/>
                <w:sz w:val="21"/>
                <w:szCs w:val="21"/>
              </w:rPr>
              <w:t>汤馨语</w:t>
            </w:r>
            <w:r>
              <w:rPr>
                <w:rFonts w:hint="eastAsia" w:ascii="Times New Roman" w:hAnsi="Times New Roman" w:eastAsia="宋体" w:cs="Times New Roman"/>
                <w:b w:val="0"/>
                <w:bCs w:val="0"/>
                <w:color w:val="auto"/>
                <w:sz w:val="21"/>
                <w:szCs w:val="21"/>
                <w:lang w:val="en-US" w:eastAsia="zh-CN"/>
              </w:rPr>
              <w:fldChar w:fldCharType="end"/>
            </w:r>
            <w:r>
              <w:rPr>
                <w:rFonts w:hint="eastAsia" w:ascii="Times New Roman" w:hAns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fldChar w:fldCharType="begin"/>
            </w:r>
            <w:r>
              <w:rPr>
                <w:rFonts w:hint="eastAsia" w:ascii="Times New Roman" w:hAnsi="Times New Roman" w:eastAsia="宋体" w:cs="Times New Roman"/>
                <w:b w:val="0"/>
                <w:bCs w:val="0"/>
                <w:color w:val="auto"/>
                <w:sz w:val="21"/>
                <w:szCs w:val="21"/>
                <w:lang w:val="en-US" w:eastAsia="zh-CN"/>
              </w:rPr>
              <w:instrText xml:space="preserve"> HYPERLINK "https://kns.cnki.net/kcms2/author/detail?v=tJ8vF22QX-p31wqycocsO6CC0E6-MlfICro8VlcKDbwO4KRLYT5mv_Qs3F8WLnTEcfGTD3RnDiVRbpT1mi5hfp1oK7XXeAnR08HucXrlACuFtnWrPZ26rDq8ZruDgAwy&amp;uniplatform=NZKPT&amp;language=CHS" \t "https://kns.cnki.net/kns8s/knet" </w:instrText>
            </w:r>
            <w:r>
              <w:rPr>
                <w:rFonts w:hint="eastAsia" w:ascii="Times New Roman" w:hAnsi="Times New Roman" w:eastAsia="宋体" w:cs="Times New Roman"/>
                <w:b w:val="0"/>
                <w:bCs w:val="0"/>
                <w:color w:val="auto"/>
                <w:sz w:val="21"/>
                <w:szCs w:val="21"/>
                <w:lang w:val="en-US" w:eastAsia="zh-CN"/>
              </w:rPr>
              <w:fldChar w:fldCharType="separate"/>
            </w:r>
            <w:r>
              <w:rPr>
                <w:rFonts w:hint="eastAsia" w:ascii="Times New Roman" w:hAnsi="Times New Roman" w:eastAsia="宋体" w:cs="Times New Roman"/>
                <w:b w:val="0"/>
                <w:bCs w:val="0"/>
                <w:color w:val="auto"/>
                <w:sz w:val="21"/>
                <w:szCs w:val="21"/>
              </w:rPr>
              <w:t>李鹏举</w:t>
            </w:r>
            <w:r>
              <w:rPr>
                <w:rFonts w:hint="eastAsia" w:ascii="Times New Roman" w:hAnsi="Times New Roman" w:eastAsia="宋体" w:cs="Times New Roman"/>
                <w:b w:val="0"/>
                <w:bCs w:val="0"/>
                <w:color w:val="auto"/>
                <w:sz w:val="21"/>
                <w:szCs w:val="21"/>
                <w:lang w:val="en-US" w:eastAsia="zh-CN"/>
              </w:rPr>
              <w:fldChar w:fldCharType="end"/>
            </w:r>
          </w:p>
        </w:tc>
        <w:tc>
          <w:tcPr>
            <w:tcW w:w="1124" w:type="pct"/>
            <w:shd w:val="clear" w:color="auto" w:fill="auto"/>
            <w:noWrap/>
            <w:vAlign w:val="center"/>
          </w:tcPr>
          <w:p>
            <w:pPr>
              <w:autoSpaceDE w:val="0"/>
              <w:autoSpaceDN w:val="0"/>
              <w:adjustRightInd w:val="0"/>
              <w:snapToGrid w:val="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中国水运(下半月)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3"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9</w:t>
            </w:r>
          </w:p>
        </w:tc>
        <w:tc>
          <w:tcPr>
            <w:tcW w:w="2406"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Does social exclusion lead to a decrease in green consumption? The roles of loss of control and unwillingness to sacrifice</w:t>
            </w:r>
          </w:p>
        </w:tc>
        <w:tc>
          <w:tcPr>
            <w:tcW w:w="1154" w:type="pct"/>
            <w:shd w:val="clear" w:color="auto" w:fill="auto"/>
            <w:noWrap/>
            <w:vAlign w:val="center"/>
          </w:tcPr>
          <w:p>
            <w:pPr>
              <w:widowControl/>
              <w:shd w:val="clear" w:color="auto" w:fill="FFFFFF"/>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Wang J, Liu Z.</w:t>
            </w:r>
          </w:p>
        </w:tc>
        <w:tc>
          <w:tcPr>
            <w:tcW w:w="1124" w:type="pct"/>
            <w:shd w:val="clear" w:color="auto" w:fill="auto"/>
            <w:noWrap/>
            <w:vAlign w:val="center"/>
          </w:tcPr>
          <w:p>
            <w:pPr>
              <w:autoSpaceDE w:val="0"/>
              <w:autoSpaceDN w:val="0"/>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Asia Pacific Journal of Marketing and Logistics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313" w:type="pct"/>
            <w:shd w:val="clear" w:color="auto" w:fill="auto"/>
            <w:noWrap/>
            <w:vAlign w:val="center"/>
          </w:tcPr>
          <w:p>
            <w:pPr>
              <w:widowControl/>
              <w:adjustRightInd w:val="0"/>
              <w:snapToGrid w:val="0"/>
              <w:jc w:val="center"/>
              <w:rPr>
                <w:rFonts w:hint="default" w:ascii="Times New Roman" w:hAnsi="Times New Roman" w:cs="Times New Roman"/>
                <w:b w:val="0"/>
                <w:bCs w:val="0"/>
                <w:color w:val="auto"/>
                <w:kern w:val="0"/>
                <w:sz w:val="21"/>
                <w:szCs w:val="21"/>
                <w:lang w:val="en-US"/>
              </w:rPr>
            </w:pPr>
            <w:r>
              <w:rPr>
                <w:rFonts w:hint="eastAsia" w:ascii="Times New Roman" w:hAnsi="Times New Roman" w:cs="Times New Roman"/>
                <w:b w:val="0"/>
                <w:bCs w:val="0"/>
                <w:color w:val="auto"/>
                <w:kern w:val="0"/>
                <w:sz w:val="21"/>
                <w:szCs w:val="21"/>
                <w:lang w:val="en-US" w:eastAsia="zh-CN"/>
              </w:rPr>
              <w:t>10</w:t>
            </w:r>
          </w:p>
        </w:tc>
        <w:tc>
          <w:tcPr>
            <w:tcW w:w="2406" w:type="pct"/>
            <w:shd w:val="clear" w:color="auto" w:fill="auto"/>
            <w:noWrap/>
            <w:vAlign w:val="center"/>
          </w:tcPr>
          <w:p>
            <w:pPr>
              <w:widowControl/>
              <w:shd w:val="clear" w:color="auto" w:fill="FFFFFF"/>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Research on Corporate Bond Risk Premium and Default Based on Voluntary Dual Ratings Selection</w:t>
            </w:r>
          </w:p>
        </w:tc>
        <w:tc>
          <w:tcPr>
            <w:tcW w:w="1154" w:type="pct"/>
            <w:shd w:val="clear" w:color="auto" w:fill="auto"/>
            <w:noWrap/>
            <w:vAlign w:val="center"/>
          </w:tcPr>
          <w:p>
            <w:pPr>
              <w:widowControl/>
              <w:shd w:val="clear" w:color="auto" w:fill="FFFFFF"/>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Qianlong Yu, Xiaoyi Xiao, Yimin Li</w:t>
            </w:r>
          </w:p>
        </w:tc>
        <w:tc>
          <w:tcPr>
            <w:tcW w:w="1124" w:type="pct"/>
            <w:shd w:val="clear" w:color="auto" w:fill="auto"/>
            <w:noWrap/>
            <w:vAlign w:val="center"/>
          </w:tcPr>
          <w:p>
            <w:pPr>
              <w:autoSpaceDE w:val="0"/>
              <w:autoSpaceDN w:val="0"/>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Emerging Markets Finance and Trade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313" w:type="pct"/>
            <w:shd w:val="clear" w:color="auto" w:fill="auto"/>
            <w:noWrap/>
            <w:vAlign w:val="center"/>
          </w:tcPr>
          <w:p>
            <w:pPr>
              <w:widowControl/>
              <w:adjustRightInd w:val="0"/>
              <w:snapToGrid w:val="0"/>
              <w:jc w:val="center"/>
              <w:rPr>
                <w:rFonts w:hint="default" w:ascii="Times New Roman" w:hAnsi="Times New Roman" w:cs="Times New Roman"/>
                <w:b w:val="0"/>
                <w:bCs w:val="0"/>
                <w:color w:val="auto"/>
                <w:kern w:val="0"/>
                <w:sz w:val="21"/>
                <w:szCs w:val="21"/>
                <w:lang w:val="en-US"/>
              </w:rPr>
            </w:pPr>
            <w:r>
              <w:rPr>
                <w:rFonts w:hint="default" w:ascii="Times New Roman" w:hAnsi="Times New Roman" w:cs="Times New Roman"/>
                <w:b w:val="0"/>
                <w:bCs w:val="0"/>
                <w:color w:val="auto"/>
                <w:kern w:val="0"/>
                <w:sz w:val="21"/>
                <w:szCs w:val="21"/>
                <w:lang w:val="en-US" w:eastAsia="zh-CN"/>
              </w:rPr>
              <w:t>1</w:t>
            </w:r>
            <w:r>
              <w:rPr>
                <w:rFonts w:hint="eastAsia" w:ascii="Times New Roman" w:hAnsi="Times New Roman" w:cs="Times New Roman"/>
                <w:b w:val="0"/>
                <w:bCs w:val="0"/>
                <w:color w:val="auto"/>
                <w:kern w:val="0"/>
                <w:sz w:val="21"/>
                <w:szCs w:val="21"/>
                <w:lang w:val="en-US" w:eastAsia="zh-CN"/>
              </w:rPr>
              <w:t>1</w:t>
            </w:r>
          </w:p>
        </w:tc>
        <w:tc>
          <w:tcPr>
            <w:tcW w:w="2406" w:type="pct"/>
            <w:shd w:val="clear" w:color="auto" w:fill="auto"/>
            <w:noWrap/>
            <w:vAlign w:val="center"/>
          </w:tcPr>
          <w:p>
            <w:pPr>
              <w:widowControl/>
              <w:shd w:val="clear" w:color="auto" w:fill="FFFFFF"/>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How Fast Are the Asian Countries Progressing Toward Green Economy? Implications for Public Health</w:t>
            </w:r>
          </w:p>
        </w:tc>
        <w:tc>
          <w:tcPr>
            <w:tcW w:w="1154" w:type="pct"/>
            <w:shd w:val="clear" w:color="auto" w:fill="auto"/>
            <w:noWrap/>
            <w:vAlign w:val="center"/>
          </w:tcPr>
          <w:p>
            <w:pPr>
              <w:widowControl/>
              <w:shd w:val="clear" w:color="auto" w:fill="FFFFFF"/>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Shao, Ming,Jin, Hui,Tsai, Fu-Sheng,JakovljevicMihailo</w:t>
            </w:r>
          </w:p>
        </w:tc>
        <w:tc>
          <w:tcPr>
            <w:tcW w:w="1124" w:type="pct"/>
            <w:shd w:val="clear" w:color="auto" w:fill="auto"/>
            <w:noWrap/>
            <w:vAlign w:val="center"/>
          </w:tcPr>
          <w:p>
            <w:pPr>
              <w:autoSpaceDE w:val="0"/>
              <w:autoSpaceDN w:val="0"/>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Frontiers in Public Health</w:t>
            </w:r>
          </w:p>
        </w:tc>
      </w:tr>
    </w:tbl>
    <w:p>
      <w:pPr>
        <w:spacing w:line="360" w:lineRule="auto"/>
        <w:jc w:val="center"/>
        <w:rPr>
          <w:rFonts w:hint="eastAsia" w:ascii="Times New Roman" w:hAnsi="Times New Roman" w:eastAsia="宋体" w:cs="Times New Roman"/>
          <w:b w:val="0"/>
          <w:bCs w:val="0"/>
          <w:sz w:val="21"/>
          <w:szCs w:val="21"/>
          <w:lang w:eastAsia="zh-CN"/>
        </w:rPr>
      </w:pPr>
    </w:p>
    <w:p/>
    <w:p>
      <w:pPr>
        <w:widowControl/>
        <w:shd w:val="clear" w:color="auto" w:fill="FFFFFF"/>
        <w:snapToGrid w:val="0"/>
        <w:spacing w:line="360" w:lineRule="auto"/>
        <w:ind w:firstLine="360"/>
        <w:jc w:val="left"/>
        <w:rPr>
          <w:rFonts w:ascii="微软雅黑" w:hAnsi="微软雅黑" w:cs="宋体"/>
          <w:color w:val="333333"/>
          <w:kern w:val="0"/>
          <w:sz w:val="15"/>
          <w:szCs w:val="15"/>
        </w:rPr>
      </w:pPr>
    </w:p>
    <w:p>
      <w:pPr>
        <w:pStyle w:val="3"/>
        <w:pageBreakBefore/>
        <w:spacing w:after="120" w:line="415" w:lineRule="auto"/>
        <w:jc w:val="left"/>
        <w:rPr>
          <w:rFonts w:hint="eastAsia" w:ascii="宋体" w:hAnsi="宋体"/>
          <w:sz w:val="28"/>
          <w:szCs w:val="28"/>
        </w:rPr>
      </w:pPr>
      <w:bookmarkStart w:id="85" w:name="_Toc29349"/>
      <w:r>
        <w:rPr>
          <w:rFonts w:hint="eastAsia" w:ascii="宋体" w:hAnsi="宋体"/>
          <w:sz w:val="28"/>
          <w:szCs w:val="28"/>
        </w:rPr>
        <w:t>5.支持条件</w:t>
      </w:r>
      <w:bookmarkEnd w:id="85"/>
      <w:r>
        <w:rPr>
          <w:rFonts w:hint="eastAsia" w:ascii="宋体" w:hAnsi="宋体"/>
          <w:sz w:val="28"/>
          <w:szCs w:val="28"/>
        </w:rPr>
        <w:t xml:space="preserve"> </w:t>
      </w:r>
    </w:p>
    <w:p>
      <w:pPr>
        <w:pStyle w:val="4"/>
        <w:rPr>
          <w:rFonts w:hint="eastAsia" w:ascii="宋体" w:hAnsi="宋体" w:eastAsia="宋体"/>
          <w:b/>
          <w:bCs/>
          <w:sz w:val="24"/>
          <w:szCs w:val="24"/>
        </w:rPr>
      </w:pPr>
      <w:bookmarkStart w:id="86" w:name="_Toc605"/>
      <w:r>
        <w:rPr>
          <w:rFonts w:hint="eastAsia" w:ascii="宋体" w:hAnsi="宋体" w:eastAsia="宋体"/>
          <w:b/>
          <w:bCs/>
          <w:sz w:val="24"/>
          <w:szCs w:val="24"/>
        </w:rPr>
        <w:t>5.1学校生均教学经费情况</w:t>
      </w:r>
      <w:bookmarkEnd w:id="86"/>
    </w:p>
    <w:p>
      <w:pPr>
        <w:spacing w:line="360" w:lineRule="auto"/>
        <w:ind w:firstLine="480" w:firstLineChars="200"/>
        <w:jc w:val="both"/>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rPr>
        <w:t>专业的日常教学经费由学校、学院统筹安排，用于专业师资队伍建设、课程建设、教材建设、教学方法及教学手段改革等经费较充足</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lang w:val="en-US" w:eastAsia="zh-CN"/>
        </w:rPr>
        <w:t>其中</w:t>
      </w:r>
      <w:r>
        <w:rPr>
          <w:rFonts w:hint="default" w:ascii="Times New Roman" w:hAnsi="Times New Roman" w:eastAsia="宋体" w:cs="Times New Roman"/>
          <w:szCs w:val="28"/>
        </w:rPr>
        <w:t>生均教学日常运行支出5068.5</w:t>
      </w:r>
      <w:r>
        <w:rPr>
          <w:rFonts w:hint="default" w:ascii="Times New Roman" w:hAnsi="Times New Roman" w:eastAsia="宋体" w:cs="Times New Roman"/>
          <w:szCs w:val="28"/>
          <w:lang w:val="en-US" w:eastAsia="zh-CN"/>
        </w:rPr>
        <w:t>元，</w:t>
      </w:r>
      <w:r>
        <w:rPr>
          <w:rFonts w:hint="default" w:ascii="Times New Roman" w:hAnsi="Times New Roman" w:eastAsia="宋体" w:cs="Times New Roman"/>
          <w:szCs w:val="28"/>
        </w:rPr>
        <w:t>生均实验经费支出1017.74</w:t>
      </w:r>
      <w:r>
        <w:rPr>
          <w:rFonts w:hint="default" w:ascii="Times New Roman" w:hAnsi="Times New Roman" w:eastAsia="宋体" w:cs="Times New Roman"/>
          <w:szCs w:val="28"/>
          <w:lang w:val="en-US" w:eastAsia="zh-CN"/>
        </w:rPr>
        <w:t>元，</w:t>
      </w:r>
      <w:r>
        <w:rPr>
          <w:rFonts w:hint="default" w:ascii="Times New Roman" w:hAnsi="Times New Roman" w:eastAsia="宋体" w:cs="Times New Roman"/>
          <w:szCs w:val="28"/>
        </w:rPr>
        <w:t>生均实习经费支出410.89</w:t>
      </w:r>
      <w:r>
        <w:rPr>
          <w:rFonts w:hint="default" w:ascii="Times New Roman" w:hAnsi="Times New Roman" w:eastAsia="宋体" w:cs="Times New Roman"/>
          <w:szCs w:val="28"/>
          <w:lang w:val="en-US" w:eastAsia="zh-CN"/>
        </w:rPr>
        <w:t>元。</w:t>
      </w:r>
    </w:p>
    <w:p>
      <w:pPr>
        <w:spacing w:line="360" w:lineRule="auto"/>
        <w:jc w:val="center"/>
        <w:rPr>
          <w:rFonts w:hint="default" w:ascii="Times New Roman" w:hAnsi="Times New Roman" w:eastAsia="宋体" w:cs="Times New Roman"/>
          <w:szCs w:val="28"/>
          <w:lang w:val="en-US" w:eastAsia="zh-CN"/>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25</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生均教学经费</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5"/>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473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生均教学日常运行支出</w:t>
            </w:r>
          </w:p>
        </w:tc>
        <w:tc>
          <w:tcPr>
            <w:tcW w:w="473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5068.5</w:t>
            </w:r>
            <w:bookmarkStart w:id="87" w:name="OLE_LINK47"/>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生均实验经费支出</w:t>
            </w:r>
          </w:p>
        </w:tc>
        <w:tc>
          <w:tcPr>
            <w:tcW w:w="473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1017.74</w:t>
            </w:r>
            <w:bookmarkStart w:id="88" w:name="OLE_LINK48"/>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生均实习经费支出</w:t>
            </w:r>
          </w:p>
        </w:tc>
        <w:tc>
          <w:tcPr>
            <w:tcW w:w="473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410.89</w:t>
            </w:r>
          </w:p>
        </w:tc>
      </w:tr>
    </w:tbl>
    <w:p>
      <w:pPr>
        <w:pStyle w:val="4"/>
        <w:rPr>
          <w:rFonts w:hint="eastAsia" w:ascii="宋体" w:hAnsi="宋体" w:eastAsia="宋体"/>
          <w:b/>
          <w:bCs/>
          <w:sz w:val="24"/>
          <w:szCs w:val="24"/>
        </w:rPr>
      </w:pPr>
      <w:bookmarkStart w:id="89" w:name="_Toc31243"/>
      <w:r>
        <w:rPr>
          <w:rFonts w:hint="eastAsia" w:ascii="宋体" w:hAnsi="宋体" w:eastAsia="宋体"/>
          <w:b/>
          <w:bCs/>
          <w:sz w:val="24"/>
          <w:szCs w:val="24"/>
        </w:rPr>
        <w:t>5.2支撑专业实验教学校内场所情况</w:t>
      </w:r>
      <w:bookmarkEnd w:id="89"/>
    </w:p>
    <w:p>
      <w:pPr>
        <w:spacing w:line="360" w:lineRule="auto"/>
        <w:ind w:firstLine="480" w:firstLineChars="200"/>
        <w:jc w:val="both"/>
        <w:rPr>
          <w:rFonts w:hint="default" w:ascii="Times New Roman" w:hAnsi="Times New Roman" w:cs="Times New Roman"/>
          <w:color w:val="000000"/>
          <w:kern w:val="0"/>
          <w:szCs w:val="28"/>
        </w:rPr>
      </w:pPr>
      <w:r>
        <w:rPr>
          <w:rFonts w:hint="default" w:ascii="Times New Roman" w:hAnsi="Times New Roman" w:cs="Times New Roman"/>
          <w:color w:val="000000"/>
          <w:kern w:val="0"/>
          <w:szCs w:val="28"/>
        </w:rPr>
        <w:t>目前学院共有实验室10个，其中与专业相关主要实验室2个，另有信息集成演示沙盘1个。</w:t>
      </w:r>
      <w:r>
        <w:rPr>
          <w:rFonts w:hint="default" w:ascii="Times New Roman" w:hAnsi="Times New Roman" w:cs="Times New Roman"/>
          <w:color w:val="000000"/>
          <w:kern w:val="0"/>
          <w:szCs w:val="28"/>
          <w:lang w:val="en-US" w:eastAsia="zh-CN"/>
        </w:rPr>
        <w:t>本专业与其他专业共享实验室，</w:t>
      </w:r>
      <w:r>
        <w:rPr>
          <w:rFonts w:hint="default" w:ascii="Times New Roman" w:hAnsi="Times New Roman" w:cs="Times New Roman"/>
          <w:color w:val="000000"/>
          <w:kern w:val="0"/>
          <w:szCs w:val="28"/>
        </w:rPr>
        <w:t>实验开出率100%。</w:t>
      </w:r>
    </w:p>
    <w:p>
      <w:pPr>
        <w:spacing w:line="360" w:lineRule="auto"/>
        <w:jc w:val="center"/>
        <w:rPr>
          <w:rFonts w:hint="default" w:ascii="Times New Roman" w:hAnsi="Times New Roman" w:cs="Times New Roman"/>
          <w:color w:val="000000"/>
          <w:kern w:val="0"/>
          <w:szCs w:val="28"/>
          <w:lang w:val="en-US"/>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26</w:t>
      </w:r>
      <w:r>
        <w:rPr>
          <w:rFonts w:hint="default" w:ascii="Times New Roman" w:hAnsi="Times New Roman" w:cs="Times New Roman"/>
          <w:b w:val="0"/>
          <w:bCs w:val="0"/>
          <w:sz w:val="21"/>
          <w:szCs w:val="21"/>
          <w:lang w:val="en-US" w:eastAsia="zh-CN"/>
        </w:rPr>
        <w:t xml:space="preserve"> 市场营销</w:t>
      </w:r>
      <w:r>
        <w:rPr>
          <w:rFonts w:hint="eastAsia" w:ascii="Times New Roman" w:hAnsi="Times New Roman" w:cs="Times New Roman"/>
          <w:b w:val="0"/>
          <w:bCs w:val="0"/>
          <w:sz w:val="21"/>
          <w:szCs w:val="21"/>
          <w:lang w:val="en-US" w:eastAsia="zh-CN"/>
        </w:rPr>
        <w:t>专业实验教学校内场所</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229"/>
        <w:gridCol w:w="1782"/>
        <w:gridCol w:w="1229"/>
        <w:gridCol w:w="1505"/>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1229"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c>
          <w:tcPr>
            <w:tcW w:w="1782"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承担实验课程门数</w:t>
            </w:r>
          </w:p>
        </w:tc>
        <w:tc>
          <w:tcPr>
            <w:tcW w:w="1229"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面积（平方米）</w:t>
            </w:r>
          </w:p>
        </w:tc>
        <w:tc>
          <w:tcPr>
            <w:tcW w:w="150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设备台套数</w:t>
            </w:r>
          </w:p>
        </w:tc>
        <w:tc>
          <w:tcPr>
            <w:tcW w:w="132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设备值（万元）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专业实验室</w:t>
            </w:r>
          </w:p>
        </w:tc>
        <w:tc>
          <w:tcPr>
            <w:tcW w:w="122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0</w:t>
            </w:r>
            <w:bookmarkStart w:id="90" w:name="OLE_LINK49"/>
            <w:bookmarkEnd w:id="90"/>
          </w:p>
        </w:tc>
        <w:tc>
          <w:tcPr>
            <w:tcW w:w="1782"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122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150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1321"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基础实验室</w:t>
            </w:r>
          </w:p>
        </w:tc>
        <w:tc>
          <w:tcPr>
            <w:tcW w:w="122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782"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22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50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321"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实习场所</w:t>
            </w:r>
          </w:p>
        </w:tc>
        <w:tc>
          <w:tcPr>
            <w:tcW w:w="122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782"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22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50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321"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实训场所</w:t>
            </w:r>
          </w:p>
        </w:tc>
        <w:tc>
          <w:tcPr>
            <w:tcW w:w="122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782"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22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50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321"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其他</w:t>
            </w:r>
          </w:p>
        </w:tc>
        <w:tc>
          <w:tcPr>
            <w:tcW w:w="122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782"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229"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505"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c>
          <w:tcPr>
            <w:tcW w:w="1321"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0</w:t>
            </w:r>
          </w:p>
        </w:tc>
      </w:tr>
    </w:tbl>
    <w:p>
      <w:pPr>
        <w:pStyle w:val="4"/>
        <w:rPr>
          <w:rFonts w:hint="eastAsia" w:ascii="宋体" w:hAnsi="宋体" w:eastAsia="宋体"/>
          <w:b/>
          <w:bCs/>
          <w:sz w:val="24"/>
          <w:szCs w:val="24"/>
        </w:rPr>
      </w:pPr>
      <w:bookmarkStart w:id="91" w:name="_Toc17589"/>
      <w:r>
        <w:rPr>
          <w:rFonts w:hint="eastAsia" w:ascii="宋体" w:hAnsi="宋体" w:eastAsia="宋体"/>
          <w:b/>
          <w:bCs/>
          <w:sz w:val="24"/>
          <w:szCs w:val="24"/>
        </w:rPr>
        <w:t>5.3校外本科教学实习实训基地情况</w:t>
      </w:r>
      <w:bookmarkEnd w:id="91"/>
    </w:p>
    <w:p>
      <w:pPr>
        <w:spacing w:line="360" w:lineRule="auto"/>
        <w:ind w:firstLine="480" w:firstLineChars="200"/>
        <w:jc w:val="both"/>
        <w:rPr>
          <w:rFonts w:ascii="宋体" w:hAnsi="宋体" w:eastAsia="宋体" w:cs="宋体"/>
          <w:szCs w:val="28"/>
        </w:rPr>
      </w:pPr>
      <w:r>
        <w:rPr>
          <w:rFonts w:ascii="宋体" w:hAnsi="宋体" w:eastAsia="宋体" w:cs="宋体"/>
          <w:szCs w:val="28"/>
        </w:rPr>
        <w:t>建成</w:t>
      </w:r>
      <w:r>
        <w:rPr>
          <w:rFonts w:hint="eastAsia" w:ascii="宋体" w:hAnsi="宋体" w:eastAsia="宋体" w:cs="宋体"/>
          <w:szCs w:val="28"/>
          <w:lang w:val="en-US" w:eastAsia="zh-CN"/>
        </w:rPr>
        <w:t>长期合作</w:t>
      </w:r>
      <w:r>
        <w:rPr>
          <w:rFonts w:ascii="宋体" w:hAnsi="宋体" w:eastAsia="宋体" w:cs="宋体"/>
          <w:szCs w:val="28"/>
        </w:rPr>
        <w:t>的实习基地，确保学生专业实践</w:t>
      </w:r>
      <w:r>
        <w:rPr>
          <w:rFonts w:hint="eastAsia" w:ascii="宋体" w:hAnsi="宋体" w:eastAsia="宋体" w:cs="宋体"/>
          <w:szCs w:val="28"/>
          <w:lang w:eastAsia="zh-CN"/>
        </w:rPr>
        <w:t>、</w:t>
      </w:r>
      <w:r>
        <w:rPr>
          <w:rFonts w:hint="eastAsia" w:ascii="宋体" w:hAnsi="宋体" w:eastAsia="宋体" w:cs="宋体"/>
          <w:szCs w:val="28"/>
          <w:lang w:val="en-US" w:eastAsia="zh-CN"/>
        </w:rPr>
        <w:t>毕业论文</w:t>
      </w:r>
      <w:r>
        <w:rPr>
          <w:rFonts w:ascii="宋体" w:hAnsi="宋体" w:eastAsia="宋体" w:cs="宋体"/>
          <w:szCs w:val="28"/>
        </w:rPr>
        <w:t>与实习的需要。在见习、实习管理上，实行</w:t>
      </w:r>
      <w:r>
        <w:rPr>
          <w:rFonts w:hint="eastAsia" w:ascii="宋体" w:hAnsi="宋体" w:eastAsia="宋体" w:cs="宋体"/>
          <w:szCs w:val="28"/>
        </w:rPr>
        <w:t>“基地双重管理，实训双重指导”</w:t>
      </w:r>
      <w:r>
        <w:rPr>
          <w:rFonts w:ascii="宋体" w:hAnsi="宋体" w:eastAsia="宋体" w:cs="宋体"/>
          <w:szCs w:val="28"/>
        </w:rPr>
        <w:t>，系部与学院共同管理学生，学院、实习单位双方各指定一名指导老师，保障实习工作按计划开展。</w:t>
      </w:r>
    </w:p>
    <w:p>
      <w:pPr>
        <w:spacing w:line="360" w:lineRule="auto"/>
        <w:jc w:val="center"/>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表27 2022-2023年度市场营销专业实习基地接纳学生数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1"/>
        <w:gridCol w:w="140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tcPr>
          <w:p>
            <w:pPr>
              <w:jc w:val="center"/>
              <w:rPr>
                <w:rFonts w:hint="default" w:ascii="Times New Roman" w:hAnsi="Times New Roman" w:cs="Times New Roman"/>
                <w:sz w:val="21"/>
                <w:szCs w:val="21"/>
              </w:rPr>
            </w:pPr>
            <w:r>
              <w:rPr>
                <w:rFonts w:hint="default" w:ascii="Times New Roman" w:hAnsi="Times New Roman" w:cs="Times New Roman"/>
                <w:sz w:val="21"/>
                <w:szCs w:val="21"/>
              </w:rPr>
              <w:t>基地名称</w:t>
            </w:r>
          </w:p>
        </w:tc>
        <w:tc>
          <w:tcPr>
            <w:tcW w:w="1401" w:type="dxa"/>
          </w:tcPr>
          <w:p>
            <w:pPr>
              <w:jc w:val="center"/>
              <w:rPr>
                <w:rFonts w:hint="default" w:ascii="Times New Roman" w:hAnsi="Times New Roman" w:cs="Times New Roman"/>
                <w:sz w:val="21"/>
                <w:szCs w:val="21"/>
              </w:rPr>
            </w:pPr>
            <w:r>
              <w:rPr>
                <w:rFonts w:hint="default" w:ascii="Times New Roman" w:hAnsi="Times New Roman" w:cs="Times New Roman"/>
                <w:sz w:val="21"/>
                <w:szCs w:val="21"/>
              </w:rPr>
              <w:t>建立时间</w:t>
            </w:r>
          </w:p>
        </w:tc>
        <w:tc>
          <w:tcPr>
            <w:tcW w:w="2914" w:type="dxa"/>
          </w:tcPr>
          <w:p>
            <w:pPr>
              <w:jc w:val="center"/>
              <w:rPr>
                <w:rFonts w:hint="default" w:ascii="Times New Roman" w:hAnsi="Times New Roman" w:cs="Times New Roman"/>
                <w:sz w:val="21"/>
                <w:szCs w:val="21"/>
              </w:rPr>
            </w:pPr>
            <w:r>
              <w:rPr>
                <w:rFonts w:hint="default" w:ascii="Times New Roman" w:hAnsi="Times New Roman" w:cs="Times New Roman"/>
                <w:sz w:val="21"/>
                <w:szCs w:val="21"/>
              </w:rPr>
              <w:t>当年接纳学生总数（人次）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上海市汽车修理有限公司</w:t>
            </w:r>
          </w:p>
        </w:tc>
        <w:tc>
          <w:tcPr>
            <w:tcW w:w="1401"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2021</w:t>
            </w:r>
          </w:p>
        </w:tc>
        <w:tc>
          <w:tcPr>
            <w:tcW w:w="2914"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60</w:t>
            </w:r>
            <w:bookmarkStart w:id="92" w:name="OLE_LINK50"/>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上海奈妍网络科技有限公司</w:t>
            </w:r>
          </w:p>
        </w:tc>
        <w:tc>
          <w:tcPr>
            <w:tcW w:w="1401"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2022</w:t>
            </w:r>
          </w:p>
        </w:tc>
        <w:tc>
          <w:tcPr>
            <w:tcW w:w="2914"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rPr>
              <w:t>60</w:t>
            </w:r>
          </w:p>
        </w:tc>
      </w:tr>
    </w:tbl>
    <w:p>
      <w:pPr>
        <w:pStyle w:val="3"/>
        <w:pageBreakBefore/>
        <w:numPr>
          <w:ilvl w:val="0"/>
          <w:numId w:val="1"/>
        </w:numPr>
        <w:spacing w:after="120" w:line="415" w:lineRule="auto"/>
        <w:jc w:val="left"/>
        <w:rPr>
          <w:rFonts w:hint="eastAsia" w:ascii="宋体" w:hAnsi="宋体"/>
          <w:sz w:val="28"/>
          <w:szCs w:val="28"/>
        </w:rPr>
      </w:pPr>
      <w:bookmarkStart w:id="93" w:name="_Toc7434"/>
      <w:r>
        <w:rPr>
          <w:rFonts w:hint="eastAsia" w:ascii="宋体" w:hAnsi="宋体"/>
          <w:sz w:val="28"/>
          <w:szCs w:val="28"/>
        </w:rPr>
        <w:t>质量保障</w:t>
      </w:r>
      <w:bookmarkEnd w:id="93"/>
    </w:p>
    <w:p>
      <w:pPr>
        <w:spacing w:line="360" w:lineRule="auto"/>
        <w:ind w:firstLine="480" w:firstLineChars="200"/>
        <w:jc w:val="both"/>
        <w:rPr>
          <w:rFonts w:hint="default" w:ascii="宋体" w:hAnsi="宋体" w:eastAsia="宋体" w:cs="宋体"/>
          <w:szCs w:val="28"/>
        </w:rPr>
      </w:pPr>
      <w:r>
        <w:rPr>
          <w:rFonts w:hint="default" w:ascii="宋体" w:hAnsi="宋体" w:eastAsia="宋体" w:cs="宋体"/>
          <w:szCs w:val="28"/>
        </w:rPr>
        <w:t>构建了</w:t>
      </w:r>
      <w:r>
        <w:rPr>
          <w:rFonts w:hint="eastAsia" w:ascii="宋体" w:hAnsi="宋体" w:eastAsia="宋体" w:cs="宋体"/>
          <w:szCs w:val="28"/>
        </w:rPr>
        <w:t>“知识学习”“能力培养”“素养拓展”三层教学质量标准的三元“融合型”教学</w:t>
      </w:r>
      <w:r>
        <w:rPr>
          <w:rFonts w:hint="default" w:ascii="宋体" w:hAnsi="宋体" w:eastAsia="宋体" w:cs="宋体"/>
          <w:szCs w:val="28"/>
        </w:rPr>
        <w:t>环节质量标准体系</w:t>
      </w:r>
      <w:r>
        <w:rPr>
          <w:rFonts w:hint="eastAsia" w:ascii="宋体" w:hAnsi="宋体" w:eastAsia="宋体" w:cs="宋体"/>
          <w:szCs w:val="28"/>
          <w:lang w:eastAsia="zh-CN"/>
        </w:rPr>
        <w:t>（</w:t>
      </w:r>
      <w:r>
        <w:rPr>
          <w:rFonts w:hint="eastAsia" w:ascii="宋体" w:hAnsi="宋体" w:eastAsia="宋体" w:cs="宋体"/>
          <w:szCs w:val="28"/>
          <w:lang w:val="en-US" w:eastAsia="zh-CN"/>
        </w:rPr>
        <w:t>见图1）</w:t>
      </w:r>
      <w:r>
        <w:rPr>
          <w:rFonts w:hint="default" w:ascii="宋体" w:hAnsi="宋体" w:eastAsia="宋体" w:cs="宋体"/>
          <w:szCs w:val="28"/>
        </w:rPr>
        <w:t>。</w:t>
      </w:r>
    </w:p>
    <w:p>
      <w:pPr>
        <w:adjustRightInd/>
        <w:snapToGrid/>
        <w:spacing w:line="360" w:lineRule="auto"/>
        <w:ind w:firstLine="0" w:firstLineChars="0"/>
        <w:jc w:val="center"/>
      </w:pPr>
      <w:r>
        <w:drawing>
          <wp:inline distT="0" distB="0" distL="114300" distR="114300">
            <wp:extent cx="5274310" cy="2609215"/>
            <wp:effectExtent l="0" t="0" r="2540" b="635"/>
            <wp:docPr id="1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
                    <pic:cNvPicPr>
                      <a:picLocks noChangeAspect="1"/>
                    </pic:cNvPicPr>
                  </pic:nvPicPr>
                  <pic:blipFill>
                    <a:blip r:embed="rId9"/>
                    <a:stretch>
                      <a:fillRect/>
                    </a:stretch>
                  </pic:blipFill>
                  <pic:spPr>
                    <a:xfrm>
                      <a:off x="0" y="0"/>
                      <a:ext cx="5274310" cy="2609215"/>
                    </a:xfrm>
                    <a:prstGeom prst="rect">
                      <a:avLst/>
                    </a:prstGeom>
                    <a:noFill/>
                    <a:ln>
                      <a:noFill/>
                    </a:ln>
                  </pic:spPr>
                </pic:pic>
              </a:graphicData>
            </a:graphic>
          </wp:inline>
        </w:drawing>
      </w:r>
    </w:p>
    <w:p>
      <w:pPr>
        <w:adjustRightInd/>
        <w:snapToGrid/>
        <w:spacing w:line="360" w:lineRule="auto"/>
        <w:ind w:firstLine="0" w:firstLineChars="0"/>
        <w:jc w:val="center"/>
        <w:rPr>
          <w:rFonts w:hint="eastAsia"/>
          <w:lang w:val="en-US" w:eastAsia="zh-CN"/>
        </w:rPr>
      </w:pPr>
      <w:r>
        <w:rPr>
          <w:rFonts w:hint="eastAsia" w:ascii="Times New Roman" w:hAnsi="Times New Roman" w:cs="Times New Roman"/>
          <w:b w:val="0"/>
          <w:bCs w:val="0"/>
          <w:sz w:val="21"/>
          <w:szCs w:val="21"/>
          <w:lang w:val="en-US" w:eastAsia="zh-CN"/>
        </w:rPr>
        <w:t xml:space="preserve">图1 </w:t>
      </w:r>
      <w:r>
        <w:rPr>
          <w:rFonts w:hint="eastAsia" w:ascii="Times New Roman" w:hAnsi="Times New Roman" w:cs="Times New Roman"/>
          <w:b w:val="0"/>
          <w:bCs w:val="0"/>
          <w:sz w:val="21"/>
          <w:szCs w:val="21"/>
        </w:rPr>
        <w:t>三元“融合型”教学</w:t>
      </w:r>
      <w:r>
        <w:rPr>
          <w:rFonts w:hint="default" w:ascii="Times New Roman" w:hAnsi="Times New Roman" w:cs="Times New Roman"/>
          <w:b w:val="0"/>
          <w:bCs w:val="0"/>
          <w:sz w:val="21"/>
          <w:szCs w:val="21"/>
        </w:rPr>
        <w:t>环节质量标准体系</w:t>
      </w:r>
      <w:r>
        <w:rPr>
          <w:rFonts w:hint="eastAsia" w:ascii="Times New Roman" w:hAnsi="Times New Roman" w:cs="Times New Roman"/>
          <w:b w:val="0"/>
          <w:bCs w:val="0"/>
          <w:sz w:val="21"/>
          <w:szCs w:val="21"/>
          <w:lang w:val="en-US" w:eastAsia="zh-CN"/>
        </w:rPr>
        <w:t xml:space="preserve"> </w:t>
      </w:r>
    </w:p>
    <w:p>
      <w:pPr>
        <w:pStyle w:val="4"/>
        <w:rPr>
          <w:rFonts w:hint="eastAsia" w:ascii="宋体" w:hAnsi="宋体" w:eastAsia="宋体"/>
          <w:b/>
          <w:bCs/>
          <w:sz w:val="24"/>
          <w:szCs w:val="24"/>
        </w:rPr>
      </w:pPr>
      <w:bookmarkStart w:id="94" w:name="_Toc17092"/>
      <w:r>
        <w:rPr>
          <w:rFonts w:hint="eastAsia" w:ascii="宋体" w:hAnsi="宋体" w:eastAsia="宋体"/>
          <w:b/>
          <w:bCs/>
          <w:sz w:val="24"/>
          <w:szCs w:val="24"/>
        </w:rPr>
        <w:t>6.1质量保障体系</w:t>
      </w:r>
      <w:bookmarkEnd w:id="94"/>
    </w:p>
    <w:p>
      <w:pPr>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市场营销</w:t>
      </w:r>
      <w:r>
        <w:rPr>
          <w:rFonts w:hint="default" w:ascii="Times New Roman" w:hAnsi="Times New Roman" w:cs="Times New Roman"/>
          <w:kern w:val="0"/>
          <w:sz w:val="24"/>
        </w:rPr>
        <w:t>专业教学质量体系从教和学两个方面进行切入，制定了以下相关措施：</w:t>
      </w: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1</w:t>
      </w:r>
      <w:r>
        <w:rPr>
          <w:rFonts w:hint="default" w:ascii="Times New Roman" w:hAnsi="Times New Roman" w:cs="Times New Roman"/>
          <w:kern w:val="0"/>
          <w:sz w:val="24"/>
          <w:lang w:eastAsia="zh-CN"/>
        </w:rPr>
        <w:t>）</w:t>
      </w:r>
      <w:r>
        <w:rPr>
          <w:rFonts w:hint="default" w:ascii="Times New Roman" w:hAnsi="Times New Roman" w:cs="Times New Roman"/>
          <w:kern w:val="0"/>
          <w:sz w:val="24"/>
        </w:rPr>
        <w:t>结合学校的制度，成立了本质科学质量控制小组，明确职责，建立了科学完善的教学质量监控体系，确保市场营销专业规范有序的运行</w:t>
      </w: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2</w:t>
      </w:r>
      <w:r>
        <w:rPr>
          <w:rFonts w:hint="default" w:ascii="Times New Roman" w:hAnsi="Times New Roman" w:cs="Times New Roman"/>
          <w:kern w:val="0"/>
          <w:sz w:val="24"/>
          <w:lang w:eastAsia="zh-CN"/>
        </w:rPr>
        <w:t>）</w:t>
      </w:r>
      <w:r>
        <w:rPr>
          <w:rFonts w:hint="default" w:ascii="Times New Roman" w:hAnsi="Times New Roman" w:cs="Times New Roman"/>
          <w:kern w:val="0"/>
          <w:sz w:val="24"/>
        </w:rPr>
        <w:t>制定了课堂教学、社会实践、毕业实习、毕业论文等各教学环节的质量指标，形成了覆盖本科教学全过程的质量指标体系</w:t>
      </w: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3</w:t>
      </w:r>
      <w:r>
        <w:rPr>
          <w:rFonts w:hint="default" w:ascii="Times New Roman" w:hAnsi="Times New Roman" w:cs="Times New Roman"/>
          <w:kern w:val="0"/>
          <w:sz w:val="24"/>
          <w:lang w:eastAsia="zh-CN"/>
        </w:rPr>
        <w:t>）</w:t>
      </w:r>
      <w:r>
        <w:rPr>
          <w:rFonts w:hint="default" w:ascii="Times New Roman" w:hAnsi="Times New Roman" w:cs="Times New Roman"/>
          <w:kern w:val="0"/>
          <w:sz w:val="24"/>
        </w:rPr>
        <w:t>建立了学生评教、教学督导组评教、院系领导听课、师生座谈会等教学质量保障制度，对专业教学实施经常性检查、评价、反馈和改进</w:t>
      </w: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4</w:t>
      </w:r>
      <w:r>
        <w:rPr>
          <w:rFonts w:hint="default" w:ascii="Times New Roman" w:hAnsi="Times New Roman" w:cs="Times New Roman"/>
          <w:kern w:val="0"/>
          <w:sz w:val="24"/>
          <w:lang w:eastAsia="zh-CN"/>
        </w:rPr>
        <w:t>）</w:t>
      </w:r>
      <w:r>
        <w:rPr>
          <w:rFonts w:hint="default" w:ascii="Times New Roman" w:hAnsi="Times New Roman" w:cs="Times New Roman"/>
          <w:sz w:val="24"/>
        </w:rPr>
        <w:t>建立教学质量教学研究制度，针对各教学环节出现的问题采用访谈、问卷调查等分析方法进行深入研究，提出改进方法并进行后续追踪</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5</w:t>
      </w:r>
      <w:r>
        <w:rPr>
          <w:rFonts w:hint="default" w:ascii="Times New Roman" w:hAnsi="Times New Roman" w:cs="Times New Roman"/>
          <w:sz w:val="24"/>
          <w:lang w:eastAsia="zh-CN"/>
        </w:rPr>
        <w:t>）</w:t>
      </w:r>
      <w:r>
        <w:rPr>
          <w:rFonts w:hint="default" w:ascii="Times New Roman" w:hAnsi="Times New Roman" w:cs="Times New Roman"/>
          <w:sz w:val="24"/>
        </w:rPr>
        <w:t>严格执行团队激励制度，通过学生的选课促进教师教学水平、教学效果等各方面的提升</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6</w:t>
      </w:r>
      <w:r>
        <w:rPr>
          <w:rFonts w:hint="default" w:ascii="Times New Roman" w:hAnsi="Times New Roman" w:cs="Times New Roman"/>
          <w:sz w:val="24"/>
          <w:lang w:eastAsia="zh-CN"/>
        </w:rPr>
        <w:t>）</w:t>
      </w:r>
      <w:r>
        <w:rPr>
          <w:rFonts w:hint="default" w:ascii="Times New Roman" w:hAnsi="Times New Roman" w:cs="Times New Roman"/>
          <w:sz w:val="24"/>
        </w:rPr>
        <w:t>每学期考试结束后，积极开展试卷质量分析，找出问题，不断进行分析总结，督促老师在教学中进行改善，并形成良性循环</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7</w:t>
      </w:r>
      <w:r>
        <w:rPr>
          <w:rFonts w:hint="default" w:ascii="Times New Roman" w:hAnsi="Times New Roman" w:cs="Times New Roman"/>
          <w:sz w:val="24"/>
          <w:lang w:eastAsia="zh-CN"/>
        </w:rPr>
        <w:t>）</w:t>
      </w:r>
      <w:r>
        <w:rPr>
          <w:rFonts w:hint="default" w:ascii="Times New Roman" w:hAnsi="Times New Roman" w:cs="Times New Roman"/>
          <w:sz w:val="24"/>
        </w:rPr>
        <w:t>严肃考试纪律，加强巡考制度，确保老师严格执行主考或监考职责，对作弊学生从严处理</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8</w:t>
      </w:r>
      <w:r>
        <w:rPr>
          <w:rFonts w:hint="default" w:ascii="Times New Roman" w:hAnsi="Times New Roman" w:cs="Times New Roman"/>
          <w:sz w:val="24"/>
          <w:lang w:eastAsia="zh-CN"/>
        </w:rPr>
        <w:t>）</w:t>
      </w:r>
      <w:r>
        <w:rPr>
          <w:rFonts w:hint="default" w:ascii="Times New Roman" w:hAnsi="Times New Roman" w:cs="Times New Roman"/>
          <w:sz w:val="24"/>
        </w:rPr>
        <w:t>加强教学文件管理工作，保证课程教学大纲、教学教案、课件等基本教学文件的齐全。</w:t>
      </w:r>
    </w:p>
    <w:p>
      <w:pPr>
        <w:pStyle w:val="4"/>
        <w:rPr>
          <w:rFonts w:hint="eastAsia" w:ascii="宋体" w:hAnsi="宋体" w:eastAsia="宋体"/>
          <w:b/>
          <w:bCs/>
          <w:sz w:val="24"/>
          <w:szCs w:val="24"/>
        </w:rPr>
      </w:pPr>
      <w:bookmarkStart w:id="95" w:name="_Toc32344"/>
      <w:r>
        <w:rPr>
          <w:rFonts w:hint="eastAsia" w:ascii="宋体" w:hAnsi="宋体" w:eastAsia="宋体"/>
          <w:b/>
          <w:bCs/>
          <w:sz w:val="24"/>
          <w:szCs w:val="24"/>
        </w:rPr>
        <w:t>6.2质量监控制度及实施办法</w:t>
      </w:r>
      <w:bookmarkEnd w:id="95"/>
    </w:p>
    <w:p>
      <w:pPr>
        <w:spacing w:line="360" w:lineRule="auto"/>
        <w:ind w:firstLine="480" w:firstLineChars="200"/>
        <w:jc w:val="both"/>
        <w:rPr>
          <w:highlight w:val="none"/>
        </w:rPr>
      </w:pPr>
      <w:r>
        <w:rPr>
          <w:szCs w:val="21"/>
          <w:highlight w:val="none"/>
        </w:rPr>
        <w:t>学校构建了校、院、系三级教学管理体系，建立了一系列教学管理规章制度，同时建立了由主管教学校长担任组长、</w:t>
      </w:r>
      <w:r>
        <w:rPr>
          <w:rFonts w:hint="eastAsia"/>
          <w:szCs w:val="21"/>
          <w:highlight w:val="none"/>
          <w:lang w:eastAsia="zh-Hans"/>
        </w:rPr>
        <w:t>教务处</w:t>
      </w:r>
      <w:r>
        <w:rPr>
          <w:szCs w:val="21"/>
          <w:highlight w:val="none"/>
        </w:rPr>
        <w:t>、各学院院长担任组员的教学质量保障机构，由</w:t>
      </w:r>
      <w:r>
        <w:rPr>
          <w:rFonts w:hint="eastAsia"/>
          <w:szCs w:val="21"/>
          <w:highlight w:val="none"/>
          <w:lang w:eastAsia="zh-Hans"/>
        </w:rPr>
        <w:t>教学质量办公室</w:t>
      </w:r>
      <w:r>
        <w:rPr>
          <w:szCs w:val="21"/>
          <w:highlight w:val="none"/>
        </w:rPr>
        <w:t>负责，设有教学指导委员会、教学督导组，对各院系的教学工作进行全面监督、检查和指导。学校和学院建立了涵盖专业建设、课程建设、理论教学、实践教学等本科教学各环节的质量标准，构建了目标与过程并重的本科教学质量监控体系，两级督导、三级保障的模式有效运行并形成了良性循环。</w:t>
      </w:r>
      <w:r>
        <w:rPr>
          <w:rFonts w:hint="eastAsia"/>
          <w:szCs w:val="21"/>
          <w:highlight w:val="none"/>
          <w:lang w:eastAsia="zh-Hans"/>
        </w:rPr>
        <w:t>旅游与营销</w:t>
      </w:r>
      <w:r>
        <w:rPr>
          <w:szCs w:val="21"/>
          <w:highlight w:val="none"/>
        </w:rPr>
        <w:t>系建立了以系主任为第一责任人的教学质量监控体系，制定了以系领导班子、学科带头人为主的监督听课制度以及教师互查互助体系。每学期系领导和学科带头人不定期抽查本系教师上课情况，进入课堂听课，帮助教师提高教学水平；学科带头人对专业培养方案、课程体系设计进行总体规划，各学科团队共同讨论制定方案；全系教师每学期在理论教学、考卷归档等环节中自觉完成互查，进行过程控制。市场营销专业负责人和课程群主讲老师，采用团队制质量管控办法，由专业负责人带领骨干教师定期讨论，追踪营销学科前沿知识，适时更新教学案例和教学方法，保障教学质量的时效性和实践性。同时营销专业定期组织教师说课，召开讨论会定期检查、分析、反馈教师的教学质量、教学资料和教学方法的完善性，并形成制度，保障专业水平的质量。</w:t>
      </w:r>
      <w:r>
        <w:rPr>
          <w:rFonts w:hint="eastAsia"/>
          <w:szCs w:val="21"/>
          <w:highlight w:val="none"/>
          <w:lang w:val="en-US" w:eastAsia="zh-CN"/>
        </w:rPr>
        <w:t>具体而言，</w:t>
      </w:r>
      <w:r>
        <w:rPr>
          <w:rFonts w:ascii="Times New Roman" w:hAnsi="Times New Roman"/>
          <w:sz w:val="24"/>
          <w:highlight w:val="none"/>
        </w:rPr>
        <w:t>专业负责人及教学团队负责人年均听课超过10节，教学督导年均听课20节，任课教师每学期互听课1次，并认真按照学院的要求进行听课和做好听课纪录，及时反馈给授课老师。每学期开学生座谈会1次，</w:t>
      </w:r>
      <w:r>
        <w:rPr>
          <w:rFonts w:hint="eastAsia" w:ascii="Times New Roman" w:hAnsi="Times New Roman"/>
          <w:sz w:val="24"/>
          <w:highlight w:val="none"/>
        </w:rPr>
        <w:t>认真</w:t>
      </w:r>
      <w:r>
        <w:rPr>
          <w:rFonts w:ascii="Times New Roman" w:hAnsi="Times New Roman"/>
          <w:sz w:val="24"/>
          <w:highlight w:val="none"/>
        </w:rPr>
        <w:t>听取学生建议。</w:t>
      </w:r>
    </w:p>
    <w:p>
      <w:pPr>
        <w:pStyle w:val="4"/>
        <w:rPr>
          <w:rFonts w:hint="eastAsia" w:ascii="宋体" w:hAnsi="宋体" w:eastAsia="宋体"/>
          <w:b/>
          <w:bCs/>
          <w:sz w:val="24"/>
          <w:szCs w:val="24"/>
        </w:rPr>
      </w:pPr>
      <w:bookmarkStart w:id="96" w:name="_Toc23169"/>
      <w:r>
        <w:rPr>
          <w:rFonts w:hint="eastAsia" w:ascii="宋体" w:hAnsi="宋体" w:eastAsia="宋体"/>
          <w:b/>
          <w:bCs/>
          <w:sz w:val="24"/>
          <w:szCs w:val="24"/>
        </w:rPr>
        <w:t>6.3质量评估反馈及持续改进</w:t>
      </w:r>
      <w:bookmarkEnd w:id="96"/>
      <w:r>
        <w:rPr>
          <w:rFonts w:hint="eastAsia" w:ascii="宋体" w:hAnsi="宋体" w:eastAsia="宋体"/>
          <w:b/>
          <w:bCs/>
          <w:sz w:val="24"/>
          <w:szCs w:val="24"/>
        </w:rPr>
        <w:t xml:space="preserve"> </w:t>
      </w:r>
    </w:p>
    <w:p>
      <w:pPr>
        <w:spacing w:line="360" w:lineRule="auto"/>
        <w:ind w:firstLine="480" w:firstLineChars="200"/>
        <w:jc w:val="both"/>
        <w:rPr>
          <w:rFonts w:hint="default" w:ascii="Times New Roman" w:hAnsi="Times New Roman" w:eastAsia="宋体" w:cs="Times New Roman"/>
          <w:kern w:val="0"/>
          <w:szCs w:val="28"/>
          <w:lang w:eastAsia="zh-CN"/>
        </w:rPr>
      </w:pPr>
      <w:r>
        <w:rPr>
          <w:rFonts w:hint="default" w:ascii="Times New Roman" w:hAnsi="Times New Roman" w:eastAsia="宋体" w:cs="Times New Roman"/>
          <w:kern w:val="0"/>
          <w:szCs w:val="28"/>
          <w:lang w:eastAsia="zh-CN"/>
        </w:rPr>
        <w:t>（1）内部质量</w:t>
      </w:r>
      <w:r>
        <w:rPr>
          <w:rFonts w:hint="eastAsia" w:ascii="Times New Roman" w:hAnsi="Times New Roman" w:eastAsia="宋体" w:cs="Times New Roman"/>
          <w:kern w:val="0"/>
          <w:szCs w:val="28"/>
          <w:lang w:val="en-US" w:eastAsia="zh-CN"/>
        </w:rPr>
        <w:t>评估反馈</w:t>
      </w:r>
      <w:r>
        <w:rPr>
          <w:rFonts w:hint="default" w:ascii="Times New Roman" w:hAnsi="Times New Roman" w:eastAsia="宋体" w:cs="Times New Roman"/>
          <w:kern w:val="0"/>
          <w:szCs w:val="28"/>
          <w:lang w:eastAsia="zh-CN"/>
        </w:rPr>
        <w:t>机制</w:t>
      </w:r>
    </w:p>
    <w:p>
      <w:pPr>
        <w:spacing w:line="360" w:lineRule="auto"/>
        <w:ind w:firstLine="480" w:firstLineChars="200"/>
        <w:jc w:val="both"/>
        <w:rPr>
          <w:rFonts w:hint="eastAsia" w:ascii="宋体" w:hAnsi="宋体" w:eastAsia="宋体" w:cs="宋体"/>
          <w:b/>
          <w:bCs/>
          <w:color w:val="000000"/>
          <w:kern w:val="0"/>
          <w:szCs w:val="28"/>
        </w:rPr>
      </w:pPr>
      <w:r>
        <w:rPr>
          <w:color w:val="000000"/>
          <w:kern w:val="0"/>
          <w:szCs w:val="28"/>
        </w:rPr>
        <w:t>教学质量的检查、评价、反馈、改进机制。每学期都有校督导组、院系的领导听课记录、试卷抽查、试卷质量分析要求、考试管理、学生评教、教师教学法研究和讨论等活动，形成相关的记录和材料等，构成教师教学质量的评价制度。对于新进专业教师，实行</w:t>
      </w:r>
      <w:r>
        <w:rPr>
          <w:rFonts w:hint="eastAsia" w:ascii="宋体" w:hAnsi="宋体" w:cs="宋体"/>
          <w:color w:val="000000"/>
          <w:kern w:val="0"/>
          <w:szCs w:val="28"/>
        </w:rPr>
        <w:t>“试讲</w:t>
      </w:r>
      <w:r>
        <w:rPr>
          <w:rFonts w:hint="eastAsia" w:ascii="宋体" w:hAnsi="宋体" w:cs="宋体"/>
          <w:color w:val="000000"/>
          <w:kern w:val="0"/>
          <w:szCs w:val="28"/>
          <w:lang w:eastAsia="zh-CN"/>
        </w:rPr>
        <w:t>——</w:t>
      </w:r>
      <w:r>
        <w:rPr>
          <w:rFonts w:hint="eastAsia" w:ascii="宋体" w:hAnsi="宋体" w:cs="宋体"/>
          <w:color w:val="000000"/>
          <w:kern w:val="0"/>
          <w:szCs w:val="28"/>
        </w:rPr>
        <w:t>带教</w:t>
      </w:r>
      <w:r>
        <w:rPr>
          <w:rFonts w:hint="eastAsia" w:ascii="宋体" w:hAnsi="宋体" w:cs="宋体"/>
          <w:color w:val="000000"/>
          <w:kern w:val="0"/>
          <w:szCs w:val="28"/>
          <w:lang w:eastAsia="zh-CN"/>
        </w:rPr>
        <w:t>——</w:t>
      </w:r>
      <w:r>
        <w:rPr>
          <w:rFonts w:hint="eastAsia" w:ascii="宋体" w:hAnsi="宋体" w:cs="宋体"/>
          <w:color w:val="000000"/>
          <w:kern w:val="0"/>
          <w:szCs w:val="28"/>
        </w:rPr>
        <w:t>考评”的</w:t>
      </w:r>
      <w:r>
        <w:rPr>
          <w:color w:val="000000"/>
          <w:kern w:val="0"/>
          <w:szCs w:val="28"/>
        </w:rPr>
        <w:t>选培制度。建立学生学习质量评价、毕业生质量跟踪制度、教学信息反馈制度等教学质量标准。构筑教师集体学习和教学发展网络。开展教学讲座、示</w:t>
      </w:r>
      <w:r>
        <w:rPr>
          <w:rFonts w:hint="eastAsia" w:ascii="宋体" w:hAnsi="宋体" w:eastAsia="宋体" w:cs="宋体"/>
          <w:color w:val="000000"/>
          <w:kern w:val="0"/>
          <w:szCs w:val="28"/>
        </w:rPr>
        <w:t>范观摩课、青年教师教学竞赛、多层次教学培训等教学交流与研讨活动，建立“专业负责人—课程组—教师—助教”四级基层教学团队，推动教学“传帮带”，促进教师集体学习与教学研究。</w:t>
      </w:r>
    </w:p>
    <w:p>
      <w:pPr>
        <w:spacing w:line="360" w:lineRule="auto"/>
        <w:ind w:firstLine="480" w:firstLineChars="200"/>
        <w:jc w:val="both"/>
        <w:rPr>
          <w:rFonts w:hint="default" w:ascii="Times New Roman" w:hAnsi="Times New Roman" w:eastAsia="宋体" w:cs="Times New Roman"/>
          <w:kern w:val="0"/>
          <w:szCs w:val="28"/>
          <w:lang w:eastAsia="zh-CN"/>
        </w:rPr>
      </w:pPr>
      <w:r>
        <w:rPr>
          <w:rFonts w:hint="eastAsia" w:ascii="Times New Roman" w:hAnsi="Times New Roman" w:eastAsia="宋体" w:cs="Times New Roman"/>
          <w:kern w:val="0"/>
          <w:szCs w:val="28"/>
          <w:lang w:eastAsia="zh-CN"/>
        </w:rPr>
        <w:t>（</w:t>
      </w:r>
      <w:r>
        <w:rPr>
          <w:rFonts w:hint="default" w:ascii="Times New Roman" w:hAnsi="Times New Roman" w:eastAsia="宋体" w:cs="Times New Roman"/>
          <w:kern w:val="0"/>
          <w:szCs w:val="28"/>
          <w:lang w:eastAsia="zh-CN"/>
        </w:rPr>
        <w:t>2</w:t>
      </w:r>
      <w:r>
        <w:rPr>
          <w:rFonts w:hint="eastAsia" w:ascii="Times New Roman" w:hAnsi="Times New Roman" w:eastAsia="宋体" w:cs="Times New Roman"/>
          <w:kern w:val="0"/>
          <w:szCs w:val="28"/>
          <w:lang w:eastAsia="zh-CN"/>
        </w:rPr>
        <w:t>）</w:t>
      </w:r>
      <w:r>
        <w:rPr>
          <w:rFonts w:hint="default" w:ascii="Times New Roman" w:hAnsi="Times New Roman" w:eastAsia="宋体" w:cs="Times New Roman"/>
          <w:kern w:val="0"/>
          <w:szCs w:val="28"/>
          <w:lang w:eastAsia="zh-CN"/>
        </w:rPr>
        <w:t>外部质量</w:t>
      </w:r>
      <w:r>
        <w:rPr>
          <w:rFonts w:hint="eastAsia" w:ascii="Times New Roman" w:hAnsi="Times New Roman" w:eastAsia="宋体" w:cs="Times New Roman"/>
          <w:kern w:val="0"/>
          <w:szCs w:val="28"/>
          <w:lang w:val="en-US" w:eastAsia="zh-CN"/>
        </w:rPr>
        <w:t>评估反馈</w:t>
      </w:r>
      <w:r>
        <w:rPr>
          <w:rFonts w:hint="default" w:ascii="Times New Roman" w:hAnsi="Times New Roman" w:eastAsia="宋体" w:cs="Times New Roman"/>
          <w:kern w:val="0"/>
          <w:szCs w:val="28"/>
          <w:lang w:eastAsia="zh-CN"/>
        </w:rPr>
        <w:t>机制</w:t>
      </w:r>
    </w:p>
    <w:p>
      <w:pPr>
        <w:spacing w:line="360" w:lineRule="auto"/>
        <w:ind w:firstLine="480" w:firstLineChars="200"/>
        <w:jc w:val="both"/>
        <w:rPr>
          <w:color w:val="000000"/>
          <w:kern w:val="0"/>
          <w:szCs w:val="28"/>
        </w:rPr>
      </w:pPr>
      <w:r>
        <w:rPr>
          <w:color w:val="000000"/>
          <w:kern w:val="0"/>
          <w:szCs w:val="28"/>
        </w:rPr>
        <w:t>本专业建立了毕业生跟踪反馈机制，定期收集学生毕业及就业去向、薪酬水平、用人单位满意度和认可度等信息。邀请教育部工商管理类专业教学指导委员会成员如汪泓教授、范徵教授、徐波教授等</w:t>
      </w:r>
      <w:r>
        <w:rPr>
          <w:rFonts w:hint="eastAsia"/>
          <w:color w:val="000000"/>
          <w:kern w:val="0"/>
          <w:szCs w:val="28"/>
          <w:lang w:val="en-US" w:eastAsia="zh-CN"/>
        </w:rPr>
        <w:t>专家指导</w:t>
      </w:r>
      <w:r>
        <w:rPr>
          <w:color w:val="000000"/>
          <w:kern w:val="0"/>
          <w:szCs w:val="28"/>
        </w:rPr>
        <w:t>专业培养计划修订。通过教育部市场营销专业虚拟教研室专题论坛、中国高等院校市场学研究会教学年会、JMS中国营销科学学术年会等，与国内</w:t>
      </w:r>
      <w:r>
        <w:rPr>
          <w:rFonts w:hint="eastAsia"/>
          <w:color w:val="000000"/>
          <w:kern w:val="0"/>
          <w:szCs w:val="28"/>
          <w:lang w:val="en-US" w:eastAsia="zh-CN"/>
        </w:rPr>
        <w:t>外</w:t>
      </w:r>
      <w:r>
        <w:rPr>
          <w:color w:val="000000"/>
          <w:kern w:val="0"/>
          <w:szCs w:val="28"/>
        </w:rPr>
        <w:t>专家学者、中国市场营销学会、企业界广泛沟通</w:t>
      </w:r>
      <w:r>
        <w:rPr>
          <w:rFonts w:hint="eastAsia"/>
          <w:color w:val="000000"/>
          <w:kern w:val="0"/>
          <w:szCs w:val="28"/>
          <w:lang w:val="en-US" w:eastAsia="zh-CN"/>
        </w:rPr>
        <w:t>和交流</w:t>
      </w:r>
      <w:r>
        <w:rPr>
          <w:color w:val="000000"/>
          <w:kern w:val="0"/>
          <w:szCs w:val="28"/>
        </w:rPr>
        <w:t>培养模式</w:t>
      </w:r>
      <w:r>
        <w:rPr>
          <w:rFonts w:hint="eastAsia"/>
          <w:color w:val="000000"/>
          <w:kern w:val="0"/>
          <w:szCs w:val="28"/>
          <w:lang w:val="en-US" w:eastAsia="zh-CN"/>
        </w:rPr>
        <w:t>的实施</w:t>
      </w:r>
      <w:r>
        <w:rPr>
          <w:color w:val="000000"/>
          <w:kern w:val="0"/>
          <w:szCs w:val="28"/>
        </w:rPr>
        <w:t>成效、</w:t>
      </w:r>
      <w:r>
        <w:rPr>
          <w:rFonts w:hint="eastAsia"/>
          <w:color w:val="000000"/>
          <w:kern w:val="0"/>
          <w:szCs w:val="28"/>
          <w:lang w:val="en-US" w:eastAsia="zh-CN"/>
        </w:rPr>
        <w:t>面临</w:t>
      </w:r>
      <w:r>
        <w:rPr>
          <w:color w:val="000000"/>
          <w:kern w:val="0"/>
          <w:szCs w:val="28"/>
        </w:rPr>
        <w:t>问题和</w:t>
      </w:r>
      <w:r>
        <w:rPr>
          <w:rFonts w:hint="eastAsia"/>
          <w:color w:val="000000"/>
          <w:kern w:val="0"/>
          <w:szCs w:val="28"/>
          <w:lang w:val="en-US" w:eastAsia="zh-CN"/>
        </w:rPr>
        <w:t>优化</w:t>
      </w:r>
      <w:r>
        <w:rPr>
          <w:color w:val="000000"/>
          <w:kern w:val="0"/>
          <w:szCs w:val="28"/>
        </w:rPr>
        <w:t>建议。</w:t>
      </w:r>
    </w:p>
    <w:p>
      <w:pPr>
        <w:spacing w:line="360" w:lineRule="auto"/>
        <w:ind w:firstLine="480" w:firstLineChars="200"/>
        <w:jc w:val="both"/>
        <w:rPr>
          <w:rFonts w:hint="eastAsia" w:ascii="Times New Roman" w:hAnsi="Times New Roman" w:eastAsia="宋体" w:cs="Times New Roman"/>
          <w:kern w:val="0"/>
          <w:szCs w:val="28"/>
          <w:lang w:val="en-US" w:eastAsia="zh-CN"/>
        </w:rPr>
      </w:pPr>
      <w:r>
        <w:rPr>
          <w:rFonts w:hint="eastAsia" w:ascii="Times New Roman" w:hAnsi="Times New Roman" w:eastAsia="宋体" w:cs="Times New Roman"/>
          <w:kern w:val="0"/>
          <w:szCs w:val="28"/>
          <w:lang w:val="en-US" w:eastAsia="zh-CN"/>
        </w:rPr>
        <w:t>（3）持续改进</w:t>
      </w:r>
    </w:p>
    <w:p>
      <w:pPr>
        <w:spacing w:line="360" w:lineRule="auto"/>
        <w:ind w:firstLine="480" w:firstLineChars="200"/>
        <w:jc w:val="both"/>
        <w:rPr>
          <w:color w:val="000000"/>
          <w:kern w:val="0"/>
          <w:szCs w:val="28"/>
        </w:rPr>
      </w:pPr>
      <w:r>
        <w:rPr>
          <w:color w:val="000000"/>
          <w:kern w:val="0"/>
          <w:szCs w:val="28"/>
        </w:rPr>
        <w:t>根据培养目标、毕业要求和课程目标达成评价结果，以及外部评价收集信息，有针对性地开展本专业的</w:t>
      </w:r>
      <w:r>
        <w:rPr>
          <w:rFonts w:hint="eastAsia"/>
          <w:color w:val="000000"/>
          <w:kern w:val="0"/>
          <w:szCs w:val="28"/>
          <w:lang w:val="en-US" w:eastAsia="zh-CN"/>
        </w:rPr>
        <w:t>质量评估</w:t>
      </w:r>
      <w:r>
        <w:rPr>
          <w:color w:val="000000"/>
          <w:kern w:val="0"/>
          <w:szCs w:val="28"/>
        </w:rPr>
        <w:t>持续改进工作。专业培养计划每年都会进行</w:t>
      </w:r>
      <w:r>
        <w:rPr>
          <w:rFonts w:hint="eastAsia"/>
          <w:color w:val="000000"/>
          <w:kern w:val="0"/>
          <w:szCs w:val="28"/>
          <w:lang w:val="en-US" w:eastAsia="zh-CN"/>
        </w:rPr>
        <w:t>小幅</w:t>
      </w:r>
      <w:r>
        <w:rPr>
          <w:color w:val="000000"/>
          <w:kern w:val="0"/>
          <w:szCs w:val="28"/>
        </w:rPr>
        <w:t>调整，每四年进行</w:t>
      </w:r>
      <w:r>
        <w:rPr>
          <w:rFonts w:hint="eastAsia"/>
          <w:color w:val="000000"/>
          <w:kern w:val="0"/>
          <w:szCs w:val="28"/>
          <w:lang w:val="en-US" w:eastAsia="zh-CN"/>
        </w:rPr>
        <w:t>大幅</w:t>
      </w:r>
      <w:r>
        <w:rPr>
          <w:color w:val="000000"/>
          <w:kern w:val="0"/>
          <w:szCs w:val="28"/>
        </w:rPr>
        <w:t>调整。建立了专业与学院联动的专业质量分析和反馈工作制度。</w:t>
      </w:r>
      <w:r>
        <w:rPr>
          <w:rFonts w:hint="eastAsia"/>
          <w:color w:val="000000"/>
          <w:kern w:val="0"/>
          <w:szCs w:val="28"/>
          <w:lang w:val="en-US" w:eastAsia="zh-CN"/>
        </w:rPr>
        <w:t>根据学校制定的</w:t>
      </w:r>
      <w:r>
        <w:rPr>
          <w:rFonts w:hint="default"/>
          <w:color w:val="000000"/>
          <w:kern w:val="0"/>
          <w:szCs w:val="28"/>
          <w:lang w:val="en-US" w:eastAsia="zh-CN"/>
        </w:rPr>
        <w:t>《上海工程技术大学本科专业人才培养质量达成度评价实施办法（试行）》</w:t>
      </w:r>
      <w:r>
        <w:rPr>
          <w:rFonts w:hint="eastAsia"/>
          <w:color w:val="000000"/>
          <w:kern w:val="0"/>
          <w:szCs w:val="28"/>
          <w:lang w:val="en-US" w:eastAsia="zh-CN"/>
        </w:rPr>
        <w:t>、《</w:t>
      </w:r>
      <w:r>
        <w:rPr>
          <w:rFonts w:hint="default"/>
          <w:color w:val="000000"/>
          <w:kern w:val="0"/>
          <w:szCs w:val="28"/>
          <w:lang w:val="en-US" w:eastAsia="zh-CN"/>
        </w:rPr>
        <w:t>上海工程技术大学社会需求与学生学习成效导向的本科专业动态调整实施办法</w:t>
      </w:r>
      <w:r>
        <w:rPr>
          <w:rFonts w:hint="eastAsia"/>
          <w:color w:val="000000"/>
          <w:kern w:val="0"/>
          <w:szCs w:val="28"/>
          <w:lang w:val="en-US" w:eastAsia="zh-CN"/>
        </w:rPr>
        <w:t>》，梳理历年</w:t>
      </w:r>
      <w:r>
        <w:rPr>
          <w:color w:val="000000"/>
          <w:kern w:val="0"/>
          <w:szCs w:val="28"/>
        </w:rPr>
        <w:t>市场营销专业教学质量年度报告</w:t>
      </w:r>
      <w:r>
        <w:rPr>
          <w:rFonts w:hint="eastAsia"/>
          <w:color w:val="000000"/>
          <w:kern w:val="0"/>
          <w:szCs w:val="28"/>
          <w:lang w:eastAsia="zh-CN"/>
        </w:rPr>
        <w:t>，</w:t>
      </w:r>
      <w:r>
        <w:rPr>
          <w:rFonts w:hint="eastAsia"/>
          <w:color w:val="000000"/>
          <w:kern w:val="0"/>
          <w:szCs w:val="28"/>
          <w:lang w:val="en-US" w:eastAsia="zh-CN"/>
        </w:rPr>
        <w:t>对标要求不断对师资队伍进行优化、提升教学质量，改善学生学习成效</w:t>
      </w:r>
      <w:r>
        <w:rPr>
          <w:color w:val="000000"/>
          <w:kern w:val="0"/>
          <w:szCs w:val="28"/>
        </w:rPr>
        <w:t>。</w:t>
      </w:r>
    </w:p>
    <w:p>
      <w:pPr>
        <w:pStyle w:val="4"/>
        <w:rPr>
          <w:rFonts w:hint="eastAsia" w:ascii="宋体" w:hAnsi="宋体" w:eastAsia="宋体"/>
          <w:b/>
          <w:bCs/>
          <w:sz w:val="24"/>
          <w:szCs w:val="24"/>
        </w:rPr>
      </w:pPr>
      <w:bookmarkStart w:id="97" w:name="_Toc6600"/>
      <w:r>
        <w:rPr>
          <w:rFonts w:hint="eastAsia" w:ascii="宋体" w:hAnsi="宋体" w:eastAsia="宋体"/>
          <w:b/>
          <w:bCs/>
          <w:sz w:val="24"/>
          <w:szCs w:val="24"/>
        </w:rPr>
        <w:t>6.4在校生与毕业生满意度</w:t>
      </w:r>
      <w:bookmarkEnd w:id="97"/>
      <w:r>
        <w:rPr>
          <w:rFonts w:hint="eastAsia" w:ascii="宋体" w:hAnsi="宋体" w:eastAsia="宋体"/>
          <w:b/>
          <w:bCs/>
          <w:sz w:val="24"/>
          <w:szCs w:val="24"/>
        </w:rPr>
        <w:t xml:space="preserve"> </w:t>
      </w:r>
    </w:p>
    <w:p>
      <w:pPr>
        <w:spacing w:line="360" w:lineRule="auto"/>
        <w:ind w:firstLine="480" w:firstLineChars="200"/>
        <w:jc w:val="both"/>
        <w:rPr>
          <w:rFonts w:hint="eastAsia" w:ascii="Times New Roman" w:hAnsi="Times New Roman" w:eastAsia="宋体" w:cs="宋体"/>
          <w:kern w:val="0"/>
          <w:sz w:val="24"/>
          <w:szCs w:val="24"/>
        </w:rPr>
      </w:pPr>
      <w:r>
        <w:rPr>
          <w:rFonts w:hint="default" w:ascii="Times New Roman" w:hAnsi="Times New Roman" w:eastAsia="宋体" w:cs="Times New Roman"/>
          <w:szCs w:val="28"/>
          <w:lang w:val="en-US" w:eastAsia="zh-CN"/>
        </w:rPr>
        <w:t>对</w:t>
      </w:r>
      <w:r>
        <w:rPr>
          <w:rFonts w:hint="default" w:ascii="Times New Roman" w:hAnsi="Times New Roman" w:eastAsia="宋体" w:cs="Times New Roman"/>
          <w:szCs w:val="28"/>
        </w:rPr>
        <w:t>201</w:t>
      </w:r>
      <w:r>
        <w:rPr>
          <w:rFonts w:hint="default" w:ascii="Times New Roman" w:hAnsi="Times New Roman" w:eastAsia="宋体" w:cs="Times New Roman"/>
          <w:szCs w:val="28"/>
          <w:lang w:val="en-US" w:eastAsia="zh-CN"/>
        </w:rPr>
        <w:t>9</w:t>
      </w:r>
      <w:r>
        <w:rPr>
          <w:rFonts w:hint="default" w:ascii="Times New Roman" w:hAnsi="Times New Roman" w:eastAsia="宋体" w:cs="Times New Roman"/>
          <w:szCs w:val="28"/>
        </w:rPr>
        <w:t>级</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lang w:val="en-US" w:eastAsia="zh-CN"/>
        </w:rPr>
        <w:t>2023届</w:t>
      </w:r>
      <w:r>
        <w:rPr>
          <w:rFonts w:hint="default" w:ascii="Times New Roman" w:hAnsi="Times New Roman" w:eastAsia="宋体" w:cs="Times New Roman"/>
          <w:szCs w:val="28"/>
          <w:lang w:eastAsia="zh-CN"/>
        </w:rPr>
        <w:t>）</w:t>
      </w:r>
      <w:r>
        <w:rPr>
          <w:rFonts w:hint="default" w:ascii="Times New Roman" w:hAnsi="Times New Roman" w:eastAsia="宋体" w:cs="Times New Roman"/>
          <w:szCs w:val="28"/>
          <w:lang w:val="en-US" w:eastAsia="zh-CN"/>
        </w:rPr>
        <w:t>市场营销</w:t>
      </w:r>
      <w:r>
        <w:rPr>
          <w:rFonts w:hint="default" w:ascii="Times New Roman" w:hAnsi="Times New Roman" w:eastAsia="宋体" w:cs="Times New Roman"/>
          <w:szCs w:val="28"/>
        </w:rPr>
        <w:t>专业毕业生开展了毕业要求达成度问卷调查，发放问卷</w:t>
      </w:r>
      <w:r>
        <w:rPr>
          <w:rFonts w:hint="default" w:ascii="Times New Roman" w:hAnsi="Times New Roman" w:eastAsia="宋体" w:cs="Times New Roman"/>
          <w:szCs w:val="28"/>
          <w:lang w:val="en-US" w:eastAsia="zh-CN"/>
        </w:rPr>
        <w:t>54</w:t>
      </w:r>
      <w:r>
        <w:rPr>
          <w:rFonts w:hint="default" w:ascii="Times New Roman" w:hAnsi="Times New Roman" w:eastAsia="宋体" w:cs="Times New Roman"/>
          <w:szCs w:val="28"/>
        </w:rPr>
        <w:t>份，收回</w:t>
      </w:r>
      <w:r>
        <w:rPr>
          <w:rFonts w:hint="default" w:ascii="Times New Roman" w:hAnsi="Times New Roman" w:eastAsia="宋体" w:cs="Times New Roman"/>
          <w:szCs w:val="28"/>
          <w:lang w:val="en-US" w:eastAsia="zh-CN"/>
        </w:rPr>
        <w:t>15</w:t>
      </w:r>
      <w:r>
        <w:rPr>
          <w:rFonts w:hint="default" w:ascii="Times New Roman" w:hAnsi="Times New Roman" w:eastAsia="宋体" w:cs="Times New Roman"/>
          <w:szCs w:val="28"/>
        </w:rPr>
        <w:t>份</w:t>
      </w:r>
      <w:r>
        <w:rPr>
          <w:rFonts w:hint="default" w:ascii="Times New Roman" w:hAnsi="Times New Roman" w:eastAsia="宋体" w:cs="Times New Roman"/>
          <w:szCs w:val="28"/>
          <w:lang w:eastAsia="zh-CN"/>
        </w:rPr>
        <w:t>。</w:t>
      </w:r>
      <w:r>
        <w:rPr>
          <w:rFonts w:hint="eastAsia" w:ascii="宋体" w:hAnsi="宋体" w:eastAsia="宋体" w:cs="宋体"/>
          <w:szCs w:val="28"/>
          <w:lang w:val="en-US" w:eastAsia="zh-CN"/>
        </w:rPr>
        <w:t>调查结果</w:t>
      </w:r>
      <w:r>
        <w:rPr>
          <w:rFonts w:hint="eastAsia" w:ascii="Times New Roman" w:hAnsi="Times New Roman" w:eastAsia="宋体" w:cs="宋体"/>
          <w:kern w:val="0"/>
          <w:sz w:val="24"/>
          <w:szCs w:val="24"/>
        </w:rPr>
        <w:t>显示，</w:t>
      </w:r>
      <w:r>
        <w:rPr>
          <w:rFonts w:ascii="Times New Roman" w:hAnsi="Times New Roman" w:eastAsia="宋体" w:cs="Times New Roman"/>
          <w:kern w:val="0"/>
          <w:sz w:val="24"/>
          <w:szCs w:val="24"/>
        </w:rPr>
        <w:t>2019级（2023届）市场营销专业毕业生</w:t>
      </w:r>
      <w:r>
        <w:rPr>
          <w:rFonts w:hint="eastAsia" w:ascii="Times New Roman" w:hAnsi="Times New Roman" w:eastAsia="宋体" w:cs="宋体"/>
          <w:kern w:val="0"/>
          <w:sz w:val="24"/>
          <w:szCs w:val="24"/>
        </w:rPr>
        <w:t>与本专业相关度为</w:t>
      </w:r>
      <w:r>
        <w:rPr>
          <w:rFonts w:ascii="Times New Roman" w:hAnsi="Times New Roman" w:eastAsia="宋体" w:cs="宋体"/>
          <w:kern w:val="0"/>
          <w:sz w:val="24"/>
          <w:szCs w:val="24"/>
        </w:rPr>
        <w:t>60%</w:t>
      </w:r>
      <w:r>
        <w:rPr>
          <w:rFonts w:hint="eastAsia" w:ascii="Times New Roman" w:hAnsi="Times New Roman" w:eastAsia="宋体" w:cs="宋体"/>
          <w:kern w:val="0"/>
          <w:sz w:val="24"/>
          <w:szCs w:val="24"/>
        </w:rPr>
        <w:t>，</w:t>
      </w:r>
      <w:r>
        <w:rPr>
          <w:rFonts w:ascii="Times New Roman" w:hAnsi="Times New Roman" w:eastAsia="宋体" w:cs="宋体"/>
          <w:kern w:val="0"/>
          <w:sz w:val="24"/>
          <w:szCs w:val="24"/>
        </w:rPr>
        <w:t>80</w:t>
      </w:r>
      <w:r>
        <w:rPr>
          <w:rFonts w:hint="eastAsia" w:ascii="Times New Roman" w:hAnsi="Times New Roman" w:eastAsia="宋体" w:cs="宋体"/>
          <w:kern w:val="0"/>
          <w:sz w:val="24"/>
          <w:szCs w:val="24"/>
        </w:rPr>
        <w:t>%毕业生表示对目前所从事的行业发展有信心。其中，73</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3</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毕业生</w:t>
      </w:r>
      <w:r>
        <w:rPr>
          <w:rFonts w:hint="eastAsia" w:ascii="Times New Roman" w:hAnsi="Times New Roman" w:eastAsia="宋体" w:cs="宋体"/>
          <w:kern w:val="0"/>
          <w:sz w:val="24"/>
          <w:szCs w:val="24"/>
          <w:lang w:val="en-US" w:eastAsia="zh-CN"/>
        </w:rPr>
        <w:t>服务</w:t>
      </w:r>
      <w:r>
        <w:rPr>
          <w:rFonts w:hint="eastAsia" w:ascii="Times New Roman" w:hAnsi="Times New Roman" w:eastAsia="宋体" w:cs="宋体"/>
          <w:kern w:val="0"/>
          <w:sz w:val="24"/>
          <w:szCs w:val="24"/>
        </w:rPr>
        <w:t>于私营企业，</w:t>
      </w:r>
      <w:r>
        <w:rPr>
          <w:rFonts w:hint="eastAsia" w:ascii="Times New Roman" w:hAnsi="Times New Roman" w:eastAsia="宋体" w:cs="宋体"/>
          <w:kern w:val="0"/>
          <w:sz w:val="24"/>
          <w:szCs w:val="24"/>
          <w:lang w:val="en-US" w:eastAsia="zh-CN"/>
        </w:rPr>
        <w:t>13.3</w:t>
      </w:r>
      <w:r>
        <w:rPr>
          <w:rFonts w:ascii="Times New Roman" w:hAnsi="Times New Roman" w:eastAsia="宋体" w:cs="宋体"/>
          <w:kern w:val="0"/>
          <w:sz w:val="24"/>
          <w:szCs w:val="24"/>
          <w:highlight w:val="none"/>
        </w:rPr>
        <w:t>%</w:t>
      </w:r>
      <w:r>
        <w:rPr>
          <w:rFonts w:hint="eastAsia" w:ascii="Times New Roman" w:hAnsi="Times New Roman" w:eastAsia="宋体" w:cs="宋体"/>
          <w:kern w:val="0"/>
          <w:sz w:val="24"/>
          <w:szCs w:val="24"/>
          <w:highlight w:val="none"/>
          <w:lang w:val="en-US" w:eastAsia="zh-CN"/>
        </w:rPr>
        <w:t>服务</w:t>
      </w:r>
      <w:r>
        <w:rPr>
          <w:rFonts w:hint="eastAsia" w:ascii="Times New Roman" w:hAnsi="Times New Roman" w:eastAsia="宋体" w:cs="宋体"/>
          <w:kern w:val="0"/>
          <w:sz w:val="24"/>
          <w:szCs w:val="24"/>
          <w:highlight w:val="none"/>
        </w:rPr>
        <w:t>于</w:t>
      </w:r>
      <w:r>
        <w:rPr>
          <w:rFonts w:hint="eastAsia" w:ascii="Times New Roman" w:hAnsi="Times New Roman" w:eastAsia="宋体" w:cs="宋体"/>
          <w:kern w:val="0"/>
          <w:sz w:val="24"/>
          <w:szCs w:val="24"/>
          <w:highlight w:val="none"/>
          <w:lang w:val="en-US" w:eastAsia="zh-CN"/>
        </w:rPr>
        <w:t>国有</w:t>
      </w:r>
      <w:r>
        <w:rPr>
          <w:rFonts w:hint="eastAsia" w:ascii="Times New Roman" w:hAnsi="Times New Roman" w:eastAsia="宋体" w:cs="宋体"/>
          <w:kern w:val="0"/>
          <w:sz w:val="24"/>
          <w:szCs w:val="24"/>
          <w:highlight w:val="none"/>
        </w:rPr>
        <w:t>企业</w:t>
      </w:r>
      <w:r>
        <w:rPr>
          <w:rFonts w:hint="eastAsia" w:ascii="Times New Roman" w:hAnsi="Times New Roman" w:eastAsia="宋体" w:cs="宋体"/>
          <w:kern w:val="0"/>
          <w:sz w:val="24"/>
          <w:szCs w:val="24"/>
        </w:rPr>
        <w:t>；</w:t>
      </w:r>
      <w:r>
        <w:rPr>
          <w:rFonts w:hint="eastAsia" w:ascii="Times New Roman" w:hAnsi="Times New Roman" w:eastAsia="宋体" w:cs="宋体"/>
          <w:kern w:val="0"/>
          <w:sz w:val="24"/>
          <w:szCs w:val="24"/>
          <w:lang w:val="en-US" w:eastAsia="zh-CN"/>
        </w:rPr>
        <w:t>毕业生</w:t>
      </w:r>
      <w:r>
        <w:rPr>
          <w:rFonts w:hint="eastAsia" w:ascii="Times New Roman" w:hAnsi="Times New Roman" w:eastAsia="宋体" w:cs="宋体"/>
          <w:kern w:val="0"/>
          <w:sz w:val="24"/>
          <w:szCs w:val="24"/>
        </w:rPr>
        <w:t>从事“营销类”（5</w:t>
      </w:r>
      <w:r>
        <w:rPr>
          <w:rFonts w:ascii="Times New Roman" w:hAnsi="Times New Roman" w:eastAsia="宋体" w:cs="宋体"/>
          <w:kern w:val="0"/>
          <w:sz w:val="24"/>
          <w:szCs w:val="24"/>
        </w:rPr>
        <w:t>3.4</w:t>
      </w:r>
      <w:r>
        <w:rPr>
          <w:rFonts w:hint="eastAsia" w:ascii="Times New Roman" w:hAnsi="Times New Roman" w:eastAsia="宋体" w:cs="宋体"/>
          <w:kern w:val="0"/>
          <w:sz w:val="24"/>
          <w:szCs w:val="24"/>
        </w:rPr>
        <w:t>%），“技术类”（</w:t>
      </w:r>
      <w:r>
        <w:rPr>
          <w:rFonts w:ascii="Times New Roman" w:hAnsi="Times New Roman" w:eastAsia="宋体" w:cs="宋体"/>
          <w:kern w:val="0"/>
          <w:sz w:val="24"/>
          <w:szCs w:val="24"/>
        </w:rPr>
        <w:t>20</w:t>
      </w:r>
      <w:r>
        <w:rPr>
          <w:rFonts w:hint="eastAsia" w:ascii="Times New Roman" w:hAnsi="Times New Roman" w:eastAsia="宋体" w:cs="宋体"/>
          <w:kern w:val="0"/>
          <w:sz w:val="24"/>
          <w:szCs w:val="24"/>
        </w:rPr>
        <w:t>%），“管理类”（</w:t>
      </w:r>
      <w:r>
        <w:rPr>
          <w:rFonts w:ascii="Times New Roman" w:hAnsi="Times New Roman" w:eastAsia="宋体" w:cs="宋体"/>
          <w:kern w:val="0"/>
          <w:sz w:val="24"/>
          <w:szCs w:val="24"/>
        </w:rPr>
        <w:t>13.3</w:t>
      </w:r>
      <w:r>
        <w:rPr>
          <w:rFonts w:hint="eastAsia" w:ascii="Times New Roman" w:hAnsi="Times New Roman" w:eastAsia="宋体" w:cs="宋体"/>
          <w:kern w:val="0"/>
          <w:sz w:val="24"/>
          <w:szCs w:val="24"/>
        </w:rPr>
        <w:t>%）和“事务类”（1</w:t>
      </w:r>
      <w:r>
        <w:rPr>
          <w:rFonts w:ascii="Times New Roman" w:hAnsi="Times New Roman" w:eastAsia="宋体" w:cs="宋体"/>
          <w:kern w:val="0"/>
          <w:sz w:val="24"/>
          <w:szCs w:val="24"/>
        </w:rPr>
        <w:t>3.3%</w:t>
      </w:r>
      <w:r>
        <w:rPr>
          <w:rFonts w:hint="eastAsia" w:ascii="Times New Roman" w:hAnsi="Times New Roman" w:eastAsia="宋体" w:cs="宋体"/>
          <w:kern w:val="0"/>
          <w:sz w:val="24"/>
          <w:szCs w:val="24"/>
        </w:rPr>
        <w:t>）</w:t>
      </w:r>
      <w:r>
        <w:rPr>
          <w:rFonts w:hint="eastAsia" w:ascii="Times New Roman" w:hAnsi="Times New Roman" w:eastAsia="宋体" w:cs="宋体"/>
          <w:kern w:val="0"/>
          <w:sz w:val="24"/>
          <w:szCs w:val="24"/>
          <w:lang w:val="en-US" w:eastAsia="zh-CN"/>
        </w:rPr>
        <w:t>等工作</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lang w:val="en-US" w:eastAsia="zh-CN"/>
        </w:rPr>
        <w:t>毕业生工作岗位涉及“市场、销售、商务”（46.7%）、“采购”（20%）、“服务业人员”（6.7%）、“工人劳动者”（6.7%）、“技术开发、工程师”（6.6%）、“党政机关人员”（6.6%）。毕业生目前工作</w:t>
      </w:r>
      <w:r>
        <w:rPr>
          <w:rFonts w:hint="eastAsia" w:ascii="Times New Roman" w:hAnsi="Times New Roman" w:eastAsia="宋体" w:cs="宋体"/>
          <w:kern w:val="0"/>
          <w:sz w:val="24"/>
          <w:szCs w:val="24"/>
        </w:rPr>
        <w:t>的月</w:t>
      </w:r>
      <w:r>
        <w:rPr>
          <w:rFonts w:hint="eastAsia" w:ascii="Times New Roman" w:hAnsi="Times New Roman" w:eastAsia="宋体" w:cs="宋体"/>
          <w:kern w:val="0"/>
          <w:sz w:val="24"/>
          <w:szCs w:val="24"/>
          <w:lang w:val="en-US" w:eastAsia="zh-CN"/>
        </w:rPr>
        <w:t>平均</w:t>
      </w:r>
      <w:r>
        <w:rPr>
          <w:rFonts w:hint="eastAsia" w:ascii="Times New Roman" w:hAnsi="Times New Roman" w:eastAsia="宋体" w:cs="宋体"/>
          <w:kern w:val="0"/>
          <w:sz w:val="24"/>
          <w:szCs w:val="24"/>
        </w:rPr>
        <w:t>收入主要集中在</w:t>
      </w:r>
      <w:r>
        <w:rPr>
          <w:rFonts w:ascii="Times New Roman" w:hAnsi="Times New Roman" w:eastAsia="宋体" w:cs="宋体"/>
          <w:kern w:val="0"/>
          <w:sz w:val="24"/>
          <w:szCs w:val="24"/>
        </w:rPr>
        <w:t>5000-9000</w:t>
      </w:r>
      <w:r>
        <w:rPr>
          <w:rFonts w:hint="eastAsia" w:ascii="Times New Roman" w:hAnsi="Times New Roman" w:eastAsia="宋体" w:cs="宋体"/>
          <w:kern w:val="0"/>
          <w:sz w:val="24"/>
          <w:szCs w:val="24"/>
        </w:rPr>
        <w:t>元（</w:t>
      </w:r>
      <w:r>
        <w:rPr>
          <w:rFonts w:ascii="Times New Roman" w:hAnsi="Times New Roman" w:eastAsia="宋体" w:cs="宋体"/>
          <w:kern w:val="0"/>
          <w:sz w:val="24"/>
          <w:szCs w:val="24"/>
        </w:rPr>
        <w:t>73.3%</w:t>
      </w:r>
      <w:r>
        <w:rPr>
          <w:rFonts w:hint="eastAsia" w:ascii="Times New Roman" w:hAnsi="Times New Roman" w:eastAsia="宋体" w:cs="宋体"/>
          <w:kern w:val="0"/>
          <w:sz w:val="24"/>
          <w:szCs w:val="24"/>
        </w:rPr>
        <w:t>），毕业半年左右</w:t>
      </w:r>
      <w:r>
        <w:rPr>
          <w:rFonts w:hint="eastAsia" w:ascii="Times New Roman" w:hAnsi="Times New Roman" w:eastAsia="宋体" w:cs="宋体"/>
          <w:kern w:val="0"/>
          <w:sz w:val="24"/>
          <w:szCs w:val="24"/>
          <w:lang w:val="en-US" w:eastAsia="zh-CN"/>
        </w:rPr>
        <w:t>月平均收入</w:t>
      </w:r>
      <w:r>
        <w:rPr>
          <w:rFonts w:hint="eastAsia" w:ascii="Times New Roman" w:hAnsi="Times New Roman" w:eastAsia="宋体" w:cs="宋体"/>
          <w:kern w:val="0"/>
          <w:sz w:val="24"/>
          <w:szCs w:val="24"/>
        </w:rPr>
        <w:t>虽然仍集中在</w:t>
      </w:r>
      <w:r>
        <w:rPr>
          <w:rFonts w:ascii="Times New Roman" w:hAnsi="Times New Roman" w:eastAsia="宋体" w:cs="宋体"/>
          <w:kern w:val="0"/>
          <w:sz w:val="24"/>
          <w:szCs w:val="24"/>
        </w:rPr>
        <w:t>5000-9000</w:t>
      </w:r>
      <w:r>
        <w:rPr>
          <w:rFonts w:hint="eastAsia" w:ascii="Times New Roman" w:hAnsi="Times New Roman" w:eastAsia="宋体" w:cs="宋体"/>
          <w:kern w:val="0"/>
          <w:sz w:val="24"/>
          <w:szCs w:val="24"/>
        </w:rPr>
        <w:t>元（</w:t>
      </w:r>
      <w:r>
        <w:rPr>
          <w:rFonts w:ascii="Times New Roman" w:hAnsi="Times New Roman" w:eastAsia="宋体" w:cs="宋体"/>
          <w:kern w:val="0"/>
          <w:sz w:val="24"/>
          <w:szCs w:val="24"/>
        </w:rPr>
        <w:t>73.3%</w:t>
      </w:r>
      <w:r>
        <w:rPr>
          <w:rFonts w:hint="eastAsia" w:ascii="Times New Roman" w:hAnsi="Times New Roman" w:eastAsia="宋体" w:cs="宋体"/>
          <w:kern w:val="0"/>
          <w:sz w:val="24"/>
          <w:szCs w:val="24"/>
        </w:rPr>
        <w:t>），但具体</w:t>
      </w:r>
      <w:r>
        <w:rPr>
          <w:rFonts w:hint="eastAsia" w:ascii="Times New Roman" w:hAnsi="Times New Roman" w:eastAsia="宋体" w:cs="宋体"/>
          <w:kern w:val="0"/>
          <w:sz w:val="24"/>
          <w:szCs w:val="24"/>
          <w:lang w:val="en-US" w:eastAsia="zh-CN"/>
        </w:rPr>
        <w:t>数额</w:t>
      </w:r>
      <w:r>
        <w:rPr>
          <w:rFonts w:hint="eastAsia" w:ascii="Times New Roman" w:hAnsi="Times New Roman" w:eastAsia="宋体" w:cs="宋体"/>
          <w:kern w:val="0"/>
          <w:sz w:val="24"/>
          <w:szCs w:val="24"/>
        </w:rPr>
        <w:t>有一定幅度增长。总体上，</w:t>
      </w:r>
      <w:r>
        <w:rPr>
          <w:rFonts w:ascii="Times New Roman" w:hAnsi="Times New Roman" w:eastAsia="宋体" w:cs="宋体"/>
          <w:kern w:val="0"/>
          <w:sz w:val="24"/>
          <w:szCs w:val="24"/>
        </w:rPr>
        <w:t>80%</w:t>
      </w:r>
      <w:r>
        <w:rPr>
          <w:rFonts w:hint="eastAsia" w:ascii="Times New Roman" w:hAnsi="Times New Roman" w:eastAsia="宋体" w:cs="宋体"/>
          <w:kern w:val="0"/>
          <w:sz w:val="24"/>
          <w:szCs w:val="24"/>
        </w:rPr>
        <w:t>毕业生对毕业后的现状表示满意，</w:t>
      </w:r>
      <w:r>
        <w:rPr>
          <w:rFonts w:ascii="Times New Roman" w:hAnsi="Times New Roman" w:eastAsia="宋体" w:cs="宋体"/>
          <w:kern w:val="0"/>
          <w:sz w:val="24"/>
          <w:szCs w:val="24"/>
        </w:rPr>
        <w:t>80%</w:t>
      </w:r>
      <w:r>
        <w:rPr>
          <w:rFonts w:hint="eastAsia" w:ascii="Times New Roman" w:hAnsi="Times New Roman" w:eastAsia="宋体" w:cs="宋体"/>
          <w:kern w:val="0"/>
          <w:sz w:val="24"/>
          <w:szCs w:val="24"/>
        </w:rPr>
        <w:t>毕业生对行业发展充满了信心。</w: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71"/>
        <w:gridCol w:w="4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5" w:hRule="atLeast"/>
          <w:jc w:val="center"/>
        </w:trPr>
        <w:tc>
          <w:tcPr>
            <w:tcW w:w="4171" w:type="dxa"/>
            <w:vAlign w:val="center"/>
          </w:tcPr>
          <w:p>
            <w:pPr>
              <w:widowControl/>
              <w:spacing w:line="360" w:lineRule="atLeast"/>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drawing>
                <wp:inline distT="0" distB="0" distL="114300" distR="114300">
                  <wp:extent cx="2514600" cy="1949450"/>
                  <wp:effectExtent l="0" t="0" r="0" b="3175"/>
                  <wp:docPr id="5" name="图片 5" descr="图3 毕业生对现状的满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3 毕业生对现状的满意度"/>
                          <pic:cNvPicPr>
                            <a:picLocks noChangeAspect="1"/>
                          </pic:cNvPicPr>
                        </pic:nvPicPr>
                        <pic:blipFill>
                          <a:blip r:embed="rId10"/>
                          <a:stretch>
                            <a:fillRect/>
                          </a:stretch>
                        </pic:blipFill>
                        <pic:spPr>
                          <a:xfrm>
                            <a:off x="0" y="0"/>
                            <a:ext cx="2514600" cy="1949450"/>
                          </a:xfrm>
                          <a:prstGeom prst="rect">
                            <a:avLst/>
                          </a:prstGeom>
                        </pic:spPr>
                      </pic:pic>
                    </a:graphicData>
                  </a:graphic>
                </wp:inline>
              </w:drawing>
            </w:r>
          </w:p>
        </w:tc>
        <w:tc>
          <w:tcPr>
            <w:tcW w:w="4351" w:type="dxa"/>
            <w:vAlign w:val="center"/>
          </w:tcPr>
          <w:p>
            <w:pPr>
              <w:widowControl/>
              <w:adjustRightInd w:val="0"/>
              <w:snapToGrid w:val="0"/>
              <w:spacing w:line="360" w:lineRule="atLeast"/>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drawing>
                <wp:inline distT="0" distB="0" distL="114300" distR="114300">
                  <wp:extent cx="2621915" cy="2006600"/>
                  <wp:effectExtent l="0" t="0" r="6985" b="3175"/>
                  <wp:docPr id="6" name="图片 6" descr="图4 毕业生对行业发展的信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4 毕业生对行业发展的信心"/>
                          <pic:cNvPicPr>
                            <a:picLocks noChangeAspect="1"/>
                          </pic:cNvPicPr>
                        </pic:nvPicPr>
                        <pic:blipFill>
                          <a:blip r:embed="rId11"/>
                          <a:stretch>
                            <a:fillRect/>
                          </a:stretch>
                        </pic:blipFill>
                        <pic:spPr>
                          <a:xfrm>
                            <a:off x="0" y="0"/>
                            <a:ext cx="2621915" cy="200660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4171" w:type="dxa"/>
            <w:vAlign w:val="center"/>
          </w:tcPr>
          <w:p>
            <w:pPr>
              <w:widowControl/>
              <w:spacing w:line="360" w:lineRule="atLeast"/>
              <w:jc w:val="center"/>
              <w:rPr>
                <w:rFonts w:hint="default" w:ascii="Times New Roman" w:hAnsi="Times New Roman" w:eastAsia="宋体" w:cs="Times New Roman"/>
                <w:b/>
                <w:bCs/>
                <w:kern w:val="0"/>
                <w:szCs w:val="21"/>
              </w:rPr>
            </w:pPr>
            <w:r>
              <w:rPr>
                <w:rFonts w:hint="default" w:ascii="Times New Roman" w:hAnsi="Times New Roman" w:cs="Times New Roman"/>
                <w:b w:val="0"/>
                <w:bCs w:val="0"/>
                <w:sz w:val="21"/>
                <w:szCs w:val="21"/>
                <w:lang w:val="en-US" w:eastAsia="zh-CN"/>
              </w:rPr>
              <w:t>图</w:t>
            </w:r>
            <w:r>
              <w:rPr>
                <w:rFonts w:hint="eastAsia" w:ascii="Times New Roman" w:hAnsi="Times New Roman" w:cs="Times New Roman"/>
                <w:b w:val="0"/>
                <w:bCs w:val="0"/>
                <w:sz w:val="21"/>
                <w:szCs w:val="21"/>
                <w:lang w:val="en-US" w:eastAsia="zh-CN"/>
              </w:rPr>
              <w:t>2</w:t>
            </w:r>
            <w:r>
              <w:rPr>
                <w:rFonts w:hint="default" w:ascii="Times New Roman" w:hAnsi="Times New Roman" w:cs="Times New Roman"/>
                <w:b w:val="0"/>
                <w:bCs w:val="0"/>
                <w:sz w:val="21"/>
                <w:szCs w:val="21"/>
                <w:lang w:val="en-US" w:eastAsia="zh-CN"/>
              </w:rPr>
              <w:t xml:space="preserve"> 毕业生对现状的满意度</w:t>
            </w:r>
          </w:p>
        </w:tc>
        <w:tc>
          <w:tcPr>
            <w:tcW w:w="4351" w:type="dxa"/>
            <w:vAlign w:val="center"/>
          </w:tcPr>
          <w:p>
            <w:pPr>
              <w:widowControl/>
              <w:spacing w:line="360" w:lineRule="atLeast"/>
              <w:jc w:val="center"/>
              <w:rPr>
                <w:rFonts w:hint="default" w:ascii="Times New Roman" w:hAnsi="Times New Roman" w:eastAsia="宋体" w:cs="Times New Roman"/>
                <w:b/>
                <w:bCs/>
                <w:kern w:val="0"/>
                <w:szCs w:val="21"/>
              </w:rPr>
            </w:pPr>
            <w:r>
              <w:rPr>
                <w:rFonts w:hint="default" w:ascii="Times New Roman" w:hAnsi="Times New Roman" w:cs="Times New Roman"/>
                <w:b w:val="0"/>
                <w:bCs w:val="0"/>
                <w:sz w:val="21"/>
                <w:szCs w:val="21"/>
                <w:lang w:val="en-US" w:eastAsia="zh-CN"/>
              </w:rPr>
              <w:t>图</w:t>
            </w:r>
            <w:r>
              <w:rPr>
                <w:rFonts w:hint="eastAsia" w:ascii="Times New Roman" w:hAnsi="Times New Roman" w:cs="Times New Roman"/>
                <w:b w:val="0"/>
                <w:bCs w:val="0"/>
                <w:sz w:val="21"/>
                <w:szCs w:val="21"/>
                <w:lang w:val="en-US" w:eastAsia="zh-CN"/>
              </w:rPr>
              <w:t>3</w:t>
            </w:r>
            <w:r>
              <w:rPr>
                <w:rFonts w:hint="default" w:ascii="Times New Roman" w:hAnsi="Times New Roman" w:cs="Times New Roman"/>
                <w:b w:val="0"/>
                <w:bCs w:val="0"/>
                <w:sz w:val="21"/>
                <w:szCs w:val="21"/>
                <w:lang w:val="en-US" w:eastAsia="zh-CN"/>
              </w:rPr>
              <w:t xml:space="preserve"> 毕业生对行业发展的信心</w:t>
            </w:r>
          </w:p>
        </w:tc>
      </w:tr>
    </w:tbl>
    <w:p>
      <w:pPr>
        <w:pStyle w:val="3"/>
        <w:pageBreakBefore/>
        <w:spacing w:after="120" w:line="415" w:lineRule="auto"/>
        <w:jc w:val="left"/>
        <w:rPr>
          <w:rFonts w:hint="eastAsia" w:ascii="宋体" w:hAnsi="宋体"/>
          <w:sz w:val="28"/>
          <w:szCs w:val="28"/>
        </w:rPr>
      </w:pPr>
      <w:bookmarkStart w:id="98" w:name="_Toc8034"/>
      <w:r>
        <w:rPr>
          <w:rFonts w:hint="eastAsia" w:ascii="宋体" w:hAnsi="宋体"/>
          <w:sz w:val="28"/>
          <w:szCs w:val="28"/>
        </w:rPr>
        <w:t>7.学生发展</w:t>
      </w:r>
      <w:bookmarkEnd w:id="98"/>
    </w:p>
    <w:p>
      <w:pPr>
        <w:pStyle w:val="4"/>
        <w:rPr>
          <w:rFonts w:hint="eastAsia" w:ascii="宋体" w:hAnsi="宋体" w:eastAsia="宋体"/>
          <w:b/>
          <w:bCs/>
          <w:sz w:val="24"/>
          <w:szCs w:val="24"/>
        </w:rPr>
      </w:pPr>
      <w:bookmarkStart w:id="99" w:name="_TOC_250024"/>
      <w:bookmarkEnd w:id="99"/>
      <w:bookmarkStart w:id="100" w:name="_Toc18482"/>
      <w:r>
        <w:rPr>
          <w:rFonts w:hint="eastAsia" w:ascii="宋体" w:hAnsi="宋体" w:eastAsia="宋体"/>
          <w:b/>
          <w:bCs/>
          <w:sz w:val="24"/>
          <w:szCs w:val="24"/>
        </w:rPr>
        <w:t>7.1本科在校生数量基本情况</w:t>
      </w:r>
      <w:bookmarkEnd w:id="100"/>
      <w:r>
        <w:rPr>
          <w:rFonts w:hint="eastAsia" w:ascii="宋体" w:hAnsi="宋体" w:eastAsia="宋体"/>
          <w:b/>
          <w:bCs/>
          <w:sz w:val="24"/>
          <w:szCs w:val="24"/>
        </w:rPr>
        <w:t xml:space="preserve"> </w:t>
      </w:r>
    </w:p>
    <w:p>
      <w:pPr>
        <w:spacing w:line="360" w:lineRule="auto"/>
        <w:ind w:firstLine="480" w:firstLineChars="200"/>
        <w:jc w:val="both"/>
        <w:rPr>
          <w:rFonts w:hint="eastAsia" w:ascii="Times New Roman" w:hAnsi="Times New Roman" w:cs="Times New Roman"/>
          <w:szCs w:val="28"/>
          <w:lang w:val="en-US" w:eastAsia="zh-CN"/>
        </w:rPr>
      </w:pPr>
      <w:bookmarkStart w:id="101" w:name="_Hlk156300021"/>
      <w:r>
        <w:rPr>
          <w:rFonts w:hint="eastAsia" w:ascii="Times New Roman" w:hAnsi="Times New Roman" w:cs="Times New Roman"/>
          <w:szCs w:val="28"/>
          <w:lang w:val="en-US" w:eastAsia="zh-CN"/>
        </w:rPr>
        <w:t>本科在校生总数164人，其中留学生2人，暂未有港澳台侨学生；二年级44人，三年级56人，四年级58人，其他6人。</w:t>
      </w:r>
      <w:bookmarkEnd w:id="101"/>
    </w:p>
    <w:p>
      <w:pPr>
        <w:jc w:val="center"/>
        <w:rPr>
          <w:rFonts w:hint="default"/>
          <w:lang w:val="en-US"/>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28</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本科在校生数量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本科生数</w:t>
            </w:r>
          </w:p>
        </w:tc>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其中：留学生</w:t>
            </w:r>
          </w:p>
        </w:tc>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港澳台侨学生</w:t>
            </w:r>
          </w:p>
        </w:tc>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其中：一年级</w:t>
            </w:r>
          </w:p>
        </w:tc>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二年级</w:t>
            </w:r>
          </w:p>
        </w:tc>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三年级</w:t>
            </w:r>
          </w:p>
        </w:tc>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四年级</w:t>
            </w:r>
          </w:p>
        </w:tc>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其他</w:t>
            </w:r>
          </w:p>
        </w:tc>
        <w:tc>
          <w:tcPr>
            <w:tcW w:w="4148"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w:t>
            </w:r>
          </w:p>
        </w:tc>
      </w:tr>
    </w:tbl>
    <w:p>
      <w:pPr>
        <w:pStyle w:val="4"/>
        <w:rPr>
          <w:rFonts w:hint="eastAsia" w:ascii="宋体" w:hAnsi="宋体" w:eastAsia="宋体"/>
          <w:b/>
          <w:bCs/>
          <w:sz w:val="24"/>
          <w:szCs w:val="24"/>
        </w:rPr>
      </w:pPr>
      <w:bookmarkStart w:id="102" w:name="_Toc21780"/>
      <w:r>
        <w:rPr>
          <w:rFonts w:hint="eastAsia" w:ascii="宋体" w:hAnsi="宋体" w:eastAsia="宋体"/>
          <w:b/>
          <w:bCs/>
          <w:sz w:val="24"/>
          <w:szCs w:val="24"/>
        </w:rPr>
        <w:t>7.2专业招生录取率和新生报到率</w:t>
      </w:r>
      <w:bookmarkEnd w:id="102"/>
    </w:p>
    <w:p>
      <w:pPr>
        <w:spacing w:line="360" w:lineRule="auto"/>
        <w:ind w:firstLine="480" w:firstLineChars="200"/>
        <w:jc w:val="both"/>
        <w:rPr>
          <w:rFonts w:hint="default" w:eastAsia="宋体"/>
          <w:lang w:val="en-US" w:eastAsia="zh-CN"/>
        </w:rPr>
      </w:pPr>
      <w:r>
        <w:rPr>
          <w:rFonts w:hint="eastAsia" w:ascii="Times New Roman" w:hAnsi="Times New Roman" w:cs="Times New Roman"/>
          <w:szCs w:val="28"/>
          <w:lang w:val="en-US" w:eastAsia="zh-CN"/>
        </w:rPr>
        <w:t>2021、2022年工商管理大类招生和分流情况如表所示，</w:t>
      </w:r>
      <w:r>
        <w:rPr>
          <w:rFonts w:hint="eastAsia" w:ascii="Times New Roman" w:hAnsi="Times New Roman" w:eastAsia="宋体" w:cs="Times New Roman"/>
          <w:szCs w:val="28"/>
          <w:lang w:val="en-US" w:eastAsia="zh-CN"/>
        </w:rPr>
        <w:t>2023年暂未进行专业分流。</w:t>
      </w:r>
    </w:p>
    <w:p>
      <w:pPr>
        <w:jc w:val="center"/>
        <w:rPr>
          <w:rFonts w:hint="default"/>
          <w:lang w:val="en-US"/>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29</w:t>
      </w:r>
      <w:r>
        <w:rPr>
          <w:rFonts w:hint="default" w:ascii="Times New Roman" w:hAnsi="Times New Roman" w:cs="Times New Roman"/>
          <w:b w:val="0"/>
          <w:bCs w:val="0"/>
          <w:sz w:val="21"/>
          <w:szCs w:val="21"/>
          <w:lang w:val="en-US" w:eastAsia="zh-CN"/>
        </w:rPr>
        <w:t xml:space="preserve"> 专业</w:t>
      </w:r>
      <w:r>
        <w:rPr>
          <w:rFonts w:hint="eastAsia" w:ascii="Times New Roman" w:hAnsi="Times New Roman" w:cs="Times New Roman"/>
          <w:b w:val="0"/>
          <w:bCs w:val="0"/>
          <w:sz w:val="21"/>
          <w:szCs w:val="21"/>
          <w:lang w:val="en-US" w:eastAsia="zh-CN"/>
        </w:rPr>
        <w:t>招生录取和新生报到情况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年份</w:t>
            </w:r>
          </w:p>
        </w:tc>
        <w:tc>
          <w:tcPr>
            <w:tcW w:w="1037" w:type="dxa"/>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专业大类录取总数 </w:t>
            </w:r>
          </w:p>
        </w:tc>
        <w:tc>
          <w:tcPr>
            <w:tcW w:w="1037" w:type="dxa"/>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以第一志愿报考专业大类人数 </w:t>
            </w:r>
          </w:p>
        </w:tc>
        <w:tc>
          <w:tcPr>
            <w:tcW w:w="1037" w:type="dxa"/>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专业大类一志愿率 </w:t>
            </w:r>
          </w:p>
        </w:tc>
        <w:tc>
          <w:tcPr>
            <w:tcW w:w="1037" w:type="dxa"/>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专业大类实际报到数</w:t>
            </w:r>
          </w:p>
        </w:tc>
        <w:tc>
          <w:tcPr>
            <w:tcW w:w="1037" w:type="dxa"/>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专业大类报到率</w:t>
            </w:r>
          </w:p>
        </w:tc>
        <w:tc>
          <w:tcPr>
            <w:tcW w:w="1037" w:type="dxa"/>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入校最终确定到本专业的人数</w:t>
            </w:r>
          </w:p>
        </w:tc>
        <w:tc>
          <w:tcPr>
            <w:tcW w:w="1037" w:type="dxa"/>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专业学生占专业类的比例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2021</w:t>
            </w:r>
          </w:p>
        </w:tc>
        <w:tc>
          <w:tcPr>
            <w:tcW w:w="1037" w:type="dxa"/>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157</w:t>
            </w:r>
          </w:p>
        </w:tc>
        <w:tc>
          <w:tcPr>
            <w:tcW w:w="1037" w:type="dxa"/>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192</w:t>
            </w:r>
          </w:p>
        </w:tc>
        <w:tc>
          <w:tcPr>
            <w:tcW w:w="103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lang w:eastAsia="zh-Hans"/>
              </w:rPr>
              <w:t>122.29%</w:t>
            </w:r>
          </w:p>
        </w:tc>
        <w:tc>
          <w:tcPr>
            <w:tcW w:w="1037" w:type="dxa"/>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157</w:t>
            </w:r>
          </w:p>
        </w:tc>
        <w:tc>
          <w:tcPr>
            <w:tcW w:w="1037" w:type="dxa"/>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100%</w:t>
            </w:r>
          </w:p>
        </w:tc>
        <w:tc>
          <w:tcPr>
            <w:tcW w:w="1037" w:type="dxa"/>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60</w:t>
            </w:r>
          </w:p>
        </w:tc>
        <w:tc>
          <w:tcPr>
            <w:tcW w:w="1037" w:type="dxa"/>
            <w:vAlign w:val="center"/>
          </w:tcPr>
          <w:p>
            <w:pPr>
              <w:tabs>
                <w:tab w:val="left" w:pos="381"/>
              </w:tabs>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38.22%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2022</w:t>
            </w:r>
          </w:p>
        </w:tc>
        <w:tc>
          <w:tcPr>
            <w:tcW w:w="1037" w:type="dxa"/>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152</w:t>
            </w:r>
          </w:p>
        </w:tc>
        <w:tc>
          <w:tcPr>
            <w:tcW w:w="1037" w:type="dxa"/>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166</w:t>
            </w:r>
          </w:p>
        </w:tc>
        <w:tc>
          <w:tcPr>
            <w:tcW w:w="103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sz w:val="21"/>
                <w:szCs w:val="21"/>
              </w:rPr>
              <w:t>10</w:t>
            </w:r>
            <w:r>
              <w:rPr>
                <w:rFonts w:hint="default" w:ascii="Times New Roman" w:hAnsi="Times New Roman" w:cs="Times New Roman"/>
                <w:sz w:val="21"/>
                <w:szCs w:val="21"/>
                <w:lang w:val="en-US" w:eastAsia="zh-CN"/>
              </w:rPr>
              <w:t>9</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21</w:t>
            </w:r>
            <w:r>
              <w:rPr>
                <w:rFonts w:hint="default" w:ascii="Times New Roman" w:hAnsi="Times New Roman" w:eastAsia="宋体" w:cs="Times New Roman"/>
                <w:sz w:val="21"/>
                <w:szCs w:val="21"/>
              </w:rPr>
              <w:t>%</w:t>
            </w:r>
          </w:p>
        </w:tc>
        <w:tc>
          <w:tcPr>
            <w:tcW w:w="1037" w:type="dxa"/>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150</w:t>
            </w:r>
          </w:p>
        </w:tc>
        <w:tc>
          <w:tcPr>
            <w:tcW w:w="1037" w:type="dxa"/>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98.68%</w:t>
            </w:r>
          </w:p>
        </w:tc>
        <w:tc>
          <w:tcPr>
            <w:tcW w:w="1037" w:type="dxa"/>
            <w:vAlign w:val="center"/>
          </w:tcPr>
          <w:p>
            <w:pPr>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45</w:t>
            </w:r>
          </w:p>
        </w:tc>
        <w:tc>
          <w:tcPr>
            <w:tcW w:w="1037" w:type="dxa"/>
            <w:vAlign w:val="center"/>
          </w:tcPr>
          <w:p>
            <w:pPr>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30%</w:t>
            </w:r>
          </w:p>
        </w:tc>
      </w:tr>
    </w:tbl>
    <w:p>
      <w:pPr>
        <w:pStyle w:val="4"/>
        <w:rPr>
          <w:rFonts w:hint="eastAsia" w:ascii="宋体" w:hAnsi="宋体" w:eastAsia="宋体"/>
          <w:b/>
          <w:bCs/>
          <w:sz w:val="24"/>
          <w:szCs w:val="24"/>
        </w:rPr>
      </w:pPr>
      <w:bookmarkStart w:id="103" w:name="_Toc15336"/>
      <w:r>
        <w:rPr>
          <w:rFonts w:hint="eastAsia" w:ascii="宋体" w:hAnsi="宋体" w:eastAsia="宋体"/>
          <w:b/>
          <w:bCs/>
          <w:sz w:val="24"/>
          <w:szCs w:val="24"/>
        </w:rPr>
        <w:t>7.3毕业生毕业率、学位授予率与去向落实率</w:t>
      </w:r>
      <w:bookmarkEnd w:id="103"/>
    </w:p>
    <w:p>
      <w:pPr>
        <w:spacing w:line="360" w:lineRule="auto"/>
        <w:ind w:firstLine="480" w:firstLineChars="200"/>
        <w:jc w:val="both"/>
        <w:rPr>
          <w:rFonts w:hint="eastAsia"/>
        </w:rPr>
      </w:pPr>
      <w:r>
        <w:rPr>
          <w:rFonts w:hint="eastAsia" w:ascii="Times New Roman" w:hAnsi="Times New Roman" w:cs="Times New Roman"/>
          <w:szCs w:val="28"/>
          <w:lang w:val="en-US" w:eastAsia="zh-CN"/>
        </w:rPr>
        <w:t>专业应届毕业生数为48人，未按时毕业学生数为2人，毕业率为96%；专业学位授予数47人，学位授予率为97.92%；专业去向落实数为45人，去向落实率为93.75%。</w:t>
      </w:r>
    </w:p>
    <w:p>
      <w:pPr>
        <w:jc w:val="center"/>
        <w:rPr>
          <w:rFonts w:hint="default"/>
          <w:lang w:val="en-US" w:eastAsia="zh-CN"/>
        </w:rPr>
      </w:pPr>
      <w:r>
        <w:rPr>
          <w:rFonts w:hint="default" w:ascii="Times New Roman" w:hAnsi="Times New Roman" w:cs="Times New Roman"/>
          <w:b w:val="0"/>
          <w:bCs w:val="0"/>
          <w:sz w:val="21"/>
          <w:szCs w:val="21"/>
        </w:rPr>
        <w:t>表</w:t>
      </w:r>
      <w:r>
        <w:rPr>
          <w:rFonts w:hint="eastAsia" w:ascii="Times New Roman" w:hAnsi="Times New Roman" w:cs="Times New Roman"/>
          <w:b w:val="0"/>
          <w:bCs w:val="0"/>
          <w:sz w:val="21"/>
          <w:szCs w:val="21"/>
          <w:lang w:val="en-US" w:eastAsia="zh-CN"/>
        </w:rPr>
        <w:t>30</w:t>
      </w:r>
      <w:r>
        <w:rPr>
          <w:rFonts w:hint="default" w:ascii="Times New Roman" w:hAnsi="Times New Roman" w:cs="Times New Roman"/>
          <w:b w:val="0"/>
          <w:bCs w:val="0"/>
          <w:sz w:val="21"/>
          <w:szCs w:val="21"/>
          <w:lang w:val="en-US" w:eastAsia="zh-CN"/>
        </w:rPr>
        <w:t xml:space="preserve"> 市场营销专业</w:t>
      </w:r>
      <w:r>
        <w:rPr>
          <w:rFonts w:hint="eastAsia" w:ascii="Times New Roman" w:hAnsi="Times New Roman" w:cs="Times New Roman"/>
          <w:b w:val="0"/>
          <w:bCs w:val="0"/>
          <w:sz w:val="21"/>
          <w:szCs w:val="21"/>
          <w:lang w:val="en-US" w:eastAsia="zh-CN"/>
        </w:rPr>
        <w:t>毕业率、学位授予率与去向落实率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921"/>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192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专业情况</w:t>
            </w:r>
          </w:p>
        </w:tc>
        <w:tc>
          <w:tcPr>
            <w:tcW w:w="326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学校情况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Align w:val="center"/>
          </w:tcPr>
          <w:p>
            <w:pPr>
              <w:jc w:val="center"/>
              <w:rPr>
                <w:rFonts w:hint="default" w:ascii="Times New Roman" w:hAnsi="Times New Roman" w:cs="Times New Roman"/>
                <w:sz w:val="21"/>
                <w:szCs w:val="21"/>
              </w:rPr>
            </w:pPr>
            <w:bookmarkStart w:id="104" w:name="OLE_LINK53"/>
            <w:r>
              <w:rPr>
                <w:rFonts w:hint="default" w:ascii="Times New Roman" w:hAnsi="Times New Roman" w:cs="Times New Roman"/>
                <w:sz w:val="21"/>
                <w:szCs w:val="21"/>
              </w:rPr>
              <w:t>应届毕业生数</w:t>
            </w:r>
            <w:bookmarkEnd w:id="104"/>
          </w:p>
        </w:tc>
        <w:tc>
          <w:tcPr>
            <w:tcW w:w="192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48</w:t>
            </w:r>
          </w:p>
        </w:tc>
        <w:tc>
          <w:tcPr>
            <w:tcW w:w="326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应届生中未按时毕业数</w:t>
            </w:r>
          </w:p>
        </w:tc>
        <w:tc>
          <w:tcPr>
            <w:tcW w:w="192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bookmarkStart w:id="105" w:name="OLE_LINK54"/>
            <w:bookmarkEnd w:id="105"/>
          </w:p>
        </w:tc>
        <w:tc>
          <w:tcPr>
            <w:tcW w:w="326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Align w:val="center"/>
          </w:tcPr>
          <w:p>
            <w:pPr>
              <w:jc w:val="center"/>
              <w:rPr>
                <w:rFonts w:hint="default" w:ascii="Times New Roman" w:hAnsi="Times New Roman" w:cs="Times New Roman"/>
                <w:sz w:val="21"/>
                <w:szCs w:val="21"/>
              </w:rPr>
            </w:pPr>
            <w:bookmarkStart w:id="106" w:name="OLE_LINK52"/>
            <w:r>
              <w:rPr>
                <w:rFonts w:hint="default" w:ascii="Times New Roman" w:hAnsi="Times New Roman" w:cs="Times New Roman"/>
                <w:sz w:val="21"/>
                <w:szCs w:val="21"/>
              </w:rPr>
              <w:t>毕业率（%）</w:t>
            </w:r>
            <w:bookmarkEnd w:id="106"/>
            <w:r>
              <w:rPr>
                <w:rFonts w:hint="default" w:ascii="Times New Roman" w:hAnsi="Times New Roman" w:cs="Times New Roman"/>
                <w:sz w:val="21"/>
                <w:szCs w:val="21"/>
              </w:rPr>
              <w:t xml:space="preserve"> </w:t>
            </w:r>
          </w:p>
        </w:tc>
        <w:tc>
          <w:tcPr>
            <w:tcW w:w="192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96</w:t>
            </w:r>
            <w:bookmarkStart w:id="107" w:name="OLE_LINK51"/>
            <w:bookmarkEnd w:id="107"/>
          </w:p>
        </w:tc>
        <w:tc>
          <w:tcPr>
            <w:tcW w:w="326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学位授予数</w:t>
            </w:r>
          </w:p>
        </w:tc>
        <w:tc>
          <w:tcPr>
            <w:tcW w:w="192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47</w:t>
            </w:r>
          </w:p>
        </w:tc>
        <w:tc>
          <w:tcPr>
            <w:tcW w:w="326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 xml:space="preserve">学位授予率（%） </w:t>
            </w:r>
          </w:p>
        </w:tc>
        <w:tc>
          <w:tcPr>
            <w:tcW w:w="192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97.92</w:t>
            </w:r>
          </w:p>
        </w:tc>
        <w:tc>
          <w:tcPr>
            <w:tcW w:w="326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去向落实数</w:t>
            </w:r>
          </w:p>
        </w:tc>
        <w:tc>
          <w:tcPr>
            <w:tcW w:w="192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45</w:t>
            </w:r>
          </w:p>
        </w:tc>
        <w:tc>
          <w:tcPr>
            <w:tcW w:w="326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去向落实率（%）</w:t>
            </w:r>
          </w:p>
        </w:tc>
        <w:tc>
          <w:tcPr>
            <w:tcW w:w="192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93.75</w:t>
            </w:r>
          </w:p>
        </w:tc>
        <w:tc>
          <w:tcPr>
            <w:tcW w:w="326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95.87</w:t>
            </w:r>
          </w:p>
        </w:tc>
      </w:tr>
    </w:tbl>
    <w:p>
      <w:pPr>
        <w:pStyle w:val="4"/>
        <w:rPr>
          <w:rFonts w:hint="eastAsia" w:ascii="宋体" w:hAnsi="宋体" w:eastAsia="宋体"/>
          <w:b/>
          <w:bCs/>
          <w:sz w:val="24"/>
          <w:szCs w:val="24"/>
        </w:rPr>
      </w:pPr>
      <w:bookmarkStart w:id="108" w:name="_Toc13487"/>
      <w:r>
        <w:rPr>
          <w:rFonts w:hint="eastAsia" w:ascii="宋体" w:hAnsi="宋体" w:eastAsia="宋体"/>
          <w:b/>
          <w:bCs/>
          <w:sz w:val="24"/>
          <w:szCs w:val="24"/>
        </w:rPr>
        <w:t>7.4学风建设情况</w:t>
      </w:r>
      <w:bookmarkEnd w:id="108"/>
    </w:p>
    <w:p>
      <w:pPr>
        <w:spacing w:line="360" w:lineRule="auto"/>
        <w:ind w:firstLine="480" w:firstLineChars="200"/>
        <w:jc w:val="both"/>
        <w:rPr>
          <w:rFonts w:hint="default" w:ascii="Times New Roman" w:hAnsi="Times New Roman" w:eastAsia="宋体" w:cs="Times New Roman"/>
          <w:szCs w:val="28"/>
        </w:rPr>
      </w:pPr>
      <w:r>
        <w:rPr>
          <w:rFonts w:hint="default" w:ascii="Times New Roman" w:hAnsi="Times New Roman" w:eastAsia="宋体" w:cs="Times New Roman"/>
          <w:szCs w:val="28"/>
        </w:rPr>
        <w:t>市场营销专业高度重视学风建设，坚持教育与惩罚相结合的方式，营造浓厚的学习氛围，力争将优良学风融入到学生学业规划和职业规划中，提升学生的主动学习意识。通过宣传和组织活动，鼓励学生形成良好的学习行为习惯。同时，以期中、期末和英语四六级考试为主要抓手，进行诚信考试主题讲座，树立良好考风，培养学生诚信意识。通过一系列学风建设推进工作，学生对《上海工程技术大学学生手册》等规章有着较好的掌握，为其在校的日常学习和生活提供制度性规范。综合来看，市场营销专业各年级学生都保持着较高的学习和实习积极和态度，有效防止了学生上课迟到和旷课现象。在202</w:t>
      </w:r>
      <w:r>
        <w:rPr>
          <w:rFonts w:hint="default" w:ascii="Times New Roman" w:hAnsi="Times New Roman" w:eastAsia="宋体" w:cs="Times New Roman"/>
          <w:szCs w:val="28"/>
          <w:lang w:val="en-US" w:eastAsia="zh-CN"/>
        </w:rPr>
        <w:t>2</w:t>
      </w:r>
      <w:r>
        <w:rPr>
          <w:rFonts w:hint="default" w:ascii="Times New Roman" w:hAnsi="Times New Roman" w:eastAsia="宋体" w:cs="Times New Roman"/>
          <w:szCs w:val="28"/>
        </w:rPr>
        <w:t>-202</w:t>
      </w:r>
      <w:r>
        <w:rPr>
          <w:rFonts w:hint="default" w:ascii="Times New Roman" w:hAnsi="Times New Roman" w:eastAsia="宋体" w:cs="Times New Roman"/>
          <w:szCs w:val="28"/>
          <w:lang w:val="en-US" w:eastAsia="zh-CN"/>
        </w:rPr>
        <w:t>3</w:t>
      </w:r>
      <w:r>
        <w:rPr>
          <w:rFonts w:hint="default" w:ascii="Times New Roman" w:hAnsi="Times New Roman" w:eastAsia="宋体" w:cs="Times New Roman"/>
          <w:szCs w:val="28"/>
        </w:rPr>
        <w:t>学年，学生的上课出勤率基本达到95%，学生迟到率控制在5%以下。</w:t>
      </w:r>
    </w:p>
    <w:p>
      <w:pPr>
        <w:spacing w:line="360" w:lineRule="auto"/>
        <w:ind w:firstLine="480" w:firstLineChars="200"/>
        <w:jc w:val="both"/>
        <w:rPr>
          <w:rFonts w:ascii="宋体" w:hAnsi="宋体" w:eastAsia="宋体" w:cs="宋体"/>
          <w:szCs w:val="28"/>
        </w:rPr>
      </w:pPr>
      <w:r>
        <w:rPr>
          <w:rFonts w:ascii="宋体" w:hAnsi="宋体" w:eastAsia="宋体" w:cs="宋体"/>
          <w:szCs w:val="28"/>
        </w:rPr>
        <w:t>结合市场营销专业本科生培养计划和培养目标，对不同年级的学生</w:t>
      </w:r>
      <w:r>
        <w:rPr>
          <w:rFonts w:hint="eastAsia" w:ascii="宋体" w:hAnsi="宋体" w:eastAsia="宋体" w:cs="宋体"/>
          <w:szCs w:val="28"/>
          <w:lang w:val="en-US" w:eastAsia="zh-CN"/>
        </w:rPr>
        <w:t>进行针对性学风培育</w:t>
      </w:r>
      <w:r>
        <w:rPr>
          <w:rFonts w:ascii="宋体" w:hAnsi="宋体" w:eastAsia="宋体" w:cs="宋体"/>
          <w:szCs w:val="28"/>
        </w:rPr>
        <w:t>措施。具体来看，对于一年级学生</w:t>
      </w:r>
      <w:r>
        <w:rPr>
          <w:rFonts w:hint="eastAsia" w:ascii="宋体" w:hAnsi="宋体" w:eastAsia="宋体" w:cs="宋体"/>
          <w:szCs w:val="28"/>
          <w:lang w:eastAsia="zh-CN"/>
        </w:rPr>
        <w:t>，</w:t>
      </w:r>
      <w:r>
        <w:rPr>
          <w:rFonts w:ascii="宋体" w:hAnsi="宋体" w:eastAsia="宋体" w:cs="宋体"/>
          <w:szCs w:val="28"/>
        </w:rPr>
        <w:t>职业生涯规划课程的开设有利于帮助学生</w:t>
      </w:r>
      <w:r>
        <w:rPr>
          <w:rFonts w:hint="eastAsia" w:ascii="宋体" w:hAnsi="宋体" w:eastAsia="宋体" w:cs="宋体"/>
          <w:szCs w:val="28"/>
          <w:lang w:val="en-US" w:eastAsia="zh-CN"/>
        </w:rPr>
        <w:t>制定</w:t>
      </w:r>
      <w:r>
        <w:rPr>
          <w:rFonts w:ascii="宋体" w:hAnsi="宋体" w:eastAsia="宋体" w:cs="宋体"/>
          <w:szCs w:val="28"/>
        </w:rPr>
        <w:t>职业生涯规划</w:t>
      </w:r>
      <w:r>
        <w:rPr>
          <w:rFonts w:hint="eastAsia" w:ascii="宋体" w:hAnsi="宋体" w:eastAsia="宋体" w:cs="宋体"/>
          <w:szCs w:val="28"/>
          <w:lang w:eastAsia="zh-CN"/>
        </w:rPr>
        <w:t>、</w:t>
      </w:r>
      <w:r>
        <w:rPr>
          <w:rFonts w:hint="eastAsia" w:ascii="宋体" w:hAnsi="宋体" w:eastAsia="宋体" w:cs="宋体"/>
          <w:szCs w:val="28"/>
          <w:lang w:val="en-US" w:eastAsia="zh-CN"/>
        </w:rPr>
        <w:t>设定职业发展目标</w:t>
      </w:r>
      <w:r>
        <w:rPr>
          <w:rFonts w:ascii="宋体" w:hAnsi="宋体" w:eastAsia="宋体" w:cs="宋体"/>
          <w:szCs w:val="28"/>
        </w:rPr>
        <w:t>；对于二年级学生，则重点以</w:t>
      </w:r>
      <w:r>
        <w:rPr>
          <w:rFonts w:hint="eastAsia" w:ascii="宋体" w:hAnsi="宋体" w:eastAsia="宋体" w:cs="宋体"/>
          <w:szCs w:val="28"/>
        </w:rPr>
        <w:t>“加强教学联系，掌握个别情况，明确奖惩措施，确保学习时间”为原则</w:t>
      </w:r>
      <w:r>
        <w:rPr>
          <w:rFonts w:ascii="宋体" w:hAnsi="宋体" w:eastAsia="宋体" w:cs="宋体"/>
          <w:szCs w:val="28"/>
        </w:rPr>
        <w:t>，在完成市场营销基础课程的基础之上，大力抓好大学英语四、六级和计算机等级考试；对于三年级学生，依据学生初步的职业生涯规划，支持学生参与创新创业活动、鼓励学习辅修第二专业和准备研究生入学考试，高效率利用早晚自习时间，形成传帮带的良好自主学习风气；对于四年级的学生，学院主管书记、辅导员和导师进行积极指导，督促学生形成清晰的职业生涯规划和实现路径。学业导师制度的建设，使学业导师可以随时监控学生的学习表现，对其学业进行帮扶指导。</w:t>
      </w:r>
    </w:p>
    <w:p>
      <w:pPr>
        <w:pStyle w:val="3"/>
        <w:pageBreakBefore/>
        <w:spacing w:after="120" w:line="415" w:lineRule="auto"/>
        <w:jc w:val="left"/>
        <w:rPr>
          <w:rFonts w:hint="eastAsia" w:ascii="宋体" w:hAnsi="宋体"/>
          <w:sz w:val="28"/>
          <w:szCs w:val="28"/>
        </w:rPr>
      </w:pPr>
      <w:bookmarkStart w:id="109" w:name="_Toc386"/>
      <w:r>
        <w:rPr>
          <w:rFonts w:hint="eastAsia" w:ascii="宋体" w:hAnsi="宋体"/>
          <w:sz w:val="28"/>
          <w:szCs w:val="28"/>
        </w:rPr>
        <w:t>8.特色发展与案例</w:t>
      </w:r>
      <w:bookmarkEnd w:id="109"/>
    </w:p>
    <w:p>
      <w:pPr>
        <w:spacing w:line="360" w:lineRule="auto"/>
        <w:ind w:firstLine="480" w:firstLineChars="200"/>
        <w:jc w:val="both"/>
        <w:rPr>
          <w:rFonts w:hint="eastAsia" w:ascii="宋体" w:hAnsi="宋体" w:eastAsia="宋体" w:cs="宋体"/>
          <w:kern w:val="0"/>
          <w:szCs w:val="28"/>
        </w:rPr>
      </w:pPr>
      <w:r>
        <w:rPr>
          <w:kern w:val="0"/>
          <w:szCs w:val="28"/>
        </w:rPr>
        <w:t>本专业围绕培养高等应用型营销管理人才目标，紧密依托我校工程教育办学优势，主动对接上海地区产业发展需求，在以市场营销主干专业课程为核心的基础上，聚焦服装和汽车两个产业，设置市场营销、汽车营销和服装营销三个专业方向，</w:t>
      </w:r>
      <w:r>
        <w:rPr>
          <w:rFonts w:hint="eastAsia" w:ascii="宋体" w:hAnsi="宋体" w:eastAsia="宋体" w:cs="宋体"/>
          <w:kern w:val="0"/>
          <w:szCs w:val="28"/>
        </w:rPr>
        <w:t>形成“一核心、两产业、三方向”开放式跨专业人才培养模式。在教学内容上，体现“传统经典营销课程和前沿营销发展理念”相契合；在教学体系上，凸显“理论教学、实践教学和第二课堂素质教育”相融合；在教学方式上，注重“理论与实践”、“知识与能力”相结合。</w:t>
      </w:r>
    </w:p>
    <w:p>
      <w:pPr>
        <w:spacing w:line="360" w:lineRule="auto"/>
        <w:ind w:firstLine="480" w:firstLineChars="200"/>
        <w:jc w:val="both"/>
        <w:rPr>
          <w:rFonts w:hint="default" w:ascii="Times New Roman" w:hAnsi="Times New Roman" w:eastAsia="宋体" w:cs="Times New Roman"/>
          <w:kern w:val="0"/>
          <w:szCs w:val="28"/>
        </w:rPr>
      </w:pPr>
      <w:bookmarkStart w:id="110" w:name="_Toc498198177"/>
      <w:bookmarkStart w:id="111" w:name="_Toc498198028"/>
      <w:bookmarkStart w:id="112" w:name="_Toc7168"/>
      <w:bookmarkStart w:id="113" w:name="_Toc25306"/>
      <w:bookmarkStart w:id="114" w:name="_Toc19870"/>
      <w:bookmarkStart w:id="115" w:name="_Toc29488"/>
      <w:bookmarkStart w:id="116" w:name="_Toc365245864"/>
      <w:bookmarkStart w:id="117" w:name="_Toc435101944"/>
      <w:bookmarkStart w:id="118" w:name="_Toc365245279"/>
      <w:r>
        <w:rPr>
          <w:rFonts w:hint="default" w:ascii="Times New Roman" w:hAnsi="Times New Roman" w:eastAsia="宋体" w:cs="Times New Roman"/>
          <w:kern w:val="0"/>
          <w:szCs w:val="28"/>
          <w:lang w:eastAsia="zh-CN"/>
        </w:rPr>
        <w:t>（</w:t>
      </w:r>
      <w:r>
        <w:rPr>
          <w:rFonts w:hint="default" w:ascii="Times New Roman" w:hAnsi="Times New Roman" w:eastAsia="宋体" w:cs="Times New Roman"/>
          <w:kern w:val="0"/>
          <w:szCs w:val="28"/>
          <w:lang w:val="en-US" w:eastAsia="zh-CN"/>
        </w:rPr>
        <w:t>1</w:t>
      </w:r>
      <w:r>
        <w:rPr>
          <w:rFonts w:hint="default" w:ascii="Times New Roman" w:hAnsi="Times New Roman" w:eastAsia="宋体" w:cs="Times New Roman"/>
          <w:kern w:val="0"/>
          <w:szCs w:val="28"/>
          <w:lang w:eastAsia="zh-CN"/>
        </w:rPr>
        <w:t>）</w:t>
      </w:r>
      <w:r>
        <w:rPr>
          <w:rFonts w:hint="default" w:ascii="Times New Roman" w:hAnsi="Times New Roman" w:eastAsia="宋体" w:cs="Times New Roman"/>
          <w:kern w:val="0"/>
          <w:szCs w:val="28"/>
        </w:rPr>
        <w:t>以</w:t>
      </w:r>
      <w:r>
        <w:rPr>
          <w:rFonts w:hint="default" w:ascii="Times New Roman" w:hAnsi="Times New Roman" w:eastAsia="宋体" w:cs="Times New Roman"/>
          <w:kern w:val="0"/>
          <w:szCs w:val="28"/>
          <w:lang w:val="en-US" w:eastAsia="zh-CN"/>
        </w:rPr>
        <w:t>经济发展</w:t>
      </w:r>
      <w:r>
        <w:rPr>
          <w:rFonts w:hint="default" w:ascii="Times New Roman" w:hAnsi="Times New Roman" w:eastAsia="宋体" w:cs="Times New Roman"/>
          <w:kern w:val="0"/>
          <w:szCs w:val="28"/>
        </w:rPr>
        <w:t>需求为导向，形成开放式跨专业</w:t>
      </w:r>
      <w:bookmarkEnd w:id="110"/>
      <w:bookmarkEnd w:id="111"/>
      <w:r>
        <w:rPr>
          <w:rFonts w:hint="default" w:ascii="Times New Roman" w:hAnsi="Times New Roman" w:eastAsia="宋体" w:cs="Times New Roman"/>
          <w:kern w:val="0"/>
          <w:szCs w:val="28"/>
        </w:rPr>
        <w:t>人才培养模式</w:t>
      </w:r>
      <w:bookmarkEnd w:id="112"/>
      <w:bookmarkEnd w:id="113"/>
      <w:bookmarkEnd w:id="114"/>
      <w:bookmarkEnd w:id="115"/>
    </w:p>
    <w:p>
      <w:pPr>
        <w:spacing w:line="360" w:lineRule="auto"/>
        <w:ind w:firstLine="480" w:firstLineChars="200"/>
        <w:jc w:val="both"/>
        <w:rPr>
          <w:rFonts w:hint="eastAsia" w:eastAsia="宋体"/>
          <w:szCs w:val="28"/>
          <w:lang w:eastAsia="zh-CN"/>
        </w:rPr>
      </w:pPr>
      <w:r>
        <w:rPr>
          <w:kern w:val="0"/>
          <w:szCs w:val="28"/>
        </w:rPr>
        <w:t>专业主动对接地区汽车、服装产业的发展需求，以专业链、学科链积极对接产业链，设立汽车营销、服装营销、市场营销三个方向课程。并以此为依据，借助于全学分制改革构建跨专业的公共选修平台课程，在学科基础平台课、专业课和公共选修课中设置针对相关行业的特色课程，形成开放式跨专业课程群组，学生可以根据兴趣和产业趋势选择自己的课程方向，通过兴趣引导学习方向，通过学习方向选择未来就业产业，提升行业基础知识和技能，增加个人竞争力</w:t>
      </w:r>
      <w:r>
        <w:rPr>
          <w:rFonts w:hint="eastAsia"/>
          <w:kern w:val="0"/>
          <w:szCs w:val="28"/>
          <w:lang w:eastAsia="zh-CN"/>
        </w:rPr>
        <w:t>。</w:t>
      </w:r>
    </w:p>
    <w:p>
      <w:pPr>
        <w:spacing w:line="360" w:lineRule="auto"/>
        <w:ind w:firstLine="480" w:firstLineChars="200"/>
        <w:jc w:val="both"/>
        <w:rPr>
          <w:rFonts w:hint="default" w:ascii="Times New Roman" w:hAnsi="Times New Roman" w:eastAsia="宋体" w:cs="Times New Roman"/>
          <w:kern w:val="0"/>
          <w:szCs w:val="28"/>
          <w:lang w:eastAsia="zh-CN"/>
        </w:rPr>
      </w:pPr>
      <w:bookmarkStart w:id="119" w:name="_Toc31436"/>
      <w:bookmarkStart w:id="120" w:name="_Toc20827"/>
      <w:bookmarkStart w:id="121" w:name="_Toc29574"/>
      <w:bookmarkStart w:id="122" w:name="_Toc498198178"/>
      <w:bookmarkStart w:id="123" w:name="_Toc498198029"/>
      <w:bookmarkStart w:id="124" w:name="_Toc20851"/>
      <w:r>
        <w:rPr>
          <w:rFonts w:hint="eastAsia" w:ascii="Times New Roman" w:hAnsi="Times New Roman" w:eastAsia="宋体" w:cs="Times New Roman"/>
          <w:kern w:val="0"/>
          <w:szCs w:val="28"/>
          <w:lang w:eastAsia="zh-CN"/>
        </w:rPr>
        <w:t>（</w:t>
      </w:r>
      <w:r>
        <w:rPr>
          <w:rFonts w:hint="eastAsia" w:ascii="Times New Roman" w:hAnsi="Times New Roman" w:eastAsia="宋体" w:cs="Times New Roman"/>
          <w:kern w:val="0"/>
          <w:szCs w:val="28"/>
          <w:lang w:val="en-US" w:eastAsia="zh-CN"/>
        </w:rPr>
        <w:t>2</w:t>
      </w:r>
      <w:r>
        <w:rPr>
          <w:rFonts w:hint="eastAsia" w:ascii="Times New Roman" w:hAnsi="Times New Roman" w:eastAsia="宋体" w:cs="Times New Roman"/>
          <w:kern w:val="0"/>
          <w:szCs w:val="28"/>
          <w:lang w:eastAsia="zh-CN"/>
        </w:rPr>
        <w:t>）</w:t>
      </w:r>
      <w:r>
        <w:rPr>
          <w:rFonts w:hint="default" w:ascii="Times New Roman" w:hAnsi="Times New Roman" w:eastAsia="宋体" w:cs="Times New Roman"/>
          <w:kern w:val="0"/>
          <w:szCs w:val="28"/>
          <w:lang w:eastAsia="zh-CN"/>
        </w:rPr>
        <w:t>以人才培养</w:t>
      </w:r>
      <w:r>
        <w:rPr>
          <w:rFonts w:hint="eastAsia" w:ascii="Times New Roman" w:hAnsi="Times New Roman" w:eastAsia="宋体" w:cs="Times New Roman"/>
          <w:kern w:val="0"/>
          <w:szCs w:val="28"/>
          <w:lang w:val="en-US" w:eastAsia="zh-CN"/>
        </w:rPr>
        <w:t>目标</w:t>
      </w:r>
      <w:r>
        <w:rPr>
          <w:rFonts w:hint="default" w:ascii="Times New Roman" w:hAnsi="Times New Roman" w:eastAsia="宋体" w:cs="Times New Roman"/>
          <w:kern w:val="0"/>
          <w:szCs w:val="28"/>
          <w:lang w:eastAsia="zh-CN"/>
        </w:rPr>
        <w:t>为</w:t>
      </w:r>
      <w:r>
        <w:rPr>
          <w:rFonts w:hint="eastAsia" w:ascii="Times New Roman" w:hAnsi="Times New Roman" w:eastAsia="宋体" w:cs="Times New Roman"/>
          <w:kern w:val="0"/>
          <w:szCs w:val="28"/>
          <w:lang w:val="en-US" w:eastAsia="zh-CN"/>
        </w:rPr>
        <w:t>指引</w:t>
      </w:r>
      <w:r>
        <w:rPr>
          <w:rFonts w:hint="default" w:ascii="Times New Roman" w:hAnsi="Times New Roman" w:eastAsia="宋体" w:cs="Times New Roman"/>
          <w:kern w:val="0"/>
          <w:szCs w:val="28"/>
          <w:lang w:eastAsia="zh-CN"/>
        </w:rPr>
        <w:t>，建立</w:t>
      </w:r>
      <w:r>
        <w:rPr>
          <w:rFonts w:hint="eastAsia" w:ascii="Times New Roman" w:hAnsi="Times New Roman" w:eastAsia="宋体" w:cs="Times New Roman"/>
          <w:kern w:val="0"/>
          <w:szCs w:val="28"/>
          <w:lang w:val="en-US" w:eastAsia="zh-CN"/>
        </w:rPr>
        <w:t>产教融合多维人才</w:t>
      </w:r>
      <w:r>
        <w:rPr>
          <w:rFonts w:hint="default" w:ascii="Times New Roman" w:hAnsi="Times New Roman" w:eastAsia="宋体" w:cs="Times New Roman"/>
          <w:kern w:val="0"/>
          <w:szCs w:val="28"/>
          <w:lang w:eastAsia="zh-CN"/>
        </w:rPr>
        <w:t>培养体系</w:t>
      </w:r>
      <w:bookmarkEnd w:id="119"/>
      <w:bookmarkEnd w:id="120"/>
      <w:bookmarkEnd w:id="121"/>
      <w:bookmarkEnd w:id="122"/>
      <w:bookmarkEnd w:id="123"/>
      <w:bookmarkEnd w:id="124"/>
    </w:p>
    <w:p>
      <w:pPr>
        <w:spacing w:line="360" w:lineRule="auto"/>
        <w:ind w:firstLine="480" w:firstLineChars="200"/>
        <w:jc w:val="both"/>
        <w:rPr>
          <w:kern w:val="0"/>
          <w:szCs w:val="28"/>
        </w:rPr>
      </w:pPr>
      <w:r>
        <w:rPr>
          <w:kern w:val="0"/>
          <w:szCs w:val="28"/>
        </w:rPr>
        <w:t>根据市</w:t>
      </w:r>
      <w:r>
        <w:rPr>
          <w:rFonts w:hint="eastAsia" w:ascii="宋体" w:hAnsi="宋体" w:eastAsia="宋体" w:cs="宋体"/>
          <w:kern w:val="0"/>
          <w:szCs w:val="28"/>
        </w:rPr>
        <w:t>场应用型人才培养指针，明确强化了营销理念、技术能力和创业素养的“三元融合”，</w:t>
      </w:r>
      <w:r>
        <w:rPr>
          <w:kern w:val="0"/>
          <w:szCs w:val="28"/>
        </w:rPr>
        <w:t>全面注重营销理论知识的强化、营销技术能力的培养与创新创业</w:t>
      </w:r>
      <w:r>
        <w:rPr>
          <w:rFonts w:ascii="Times New Roman" w:hAnsi="Times New Roman" w:cs="Times New Roman"/>
          <w:kern w:val="0"/>
          <w:szCs w:val="28"/>
        </w:rPr>
        <w:t>综合素养的提升。</w:t>
      </w:r>
      <w:r>
        <w:rPr>
          <w:rFonts w:hint="default" w:ascii="Times New Roman" w:hAnsi="Times New Roman" w:eastAsia="宋体" w:cs="Times New Roman"/>
          <w:kern w:val="0"/>
          <w:szCs w:val="28"/>
          <w:lang w:val="en-US" w:eastAsia="zh-CN"/>
        </w:rPr>
        <w:t>多渠道、多方法授课，课堂</w:t>
      </w:r>
      <w:r>
        <w:rPr>
          <w:rFonts w:hint="default" w:ascii="Times New Roman" w:hAnsi="Times New Roman" w:eastAsia="宋体" w:cs="Times New Roman"/>
          <w:bCs w:val="0"/>
          <w:kern w:val="0"/>
          <w:szCs w:val="28"/>
        </w:rPr>
        <w:t>氛围得以改善，教师及时了解学生学习轨迹和过程数据，调整授课内容和进度，</w:t>
      </w:r>
      <w:r>
        <w:rPr>
          <w:rFonts w:ascii="Times New Roman" w:hAnsi="Times New Roman" w:cs="Times New Roman"/>
          <w:kern w:val="0"/>
          <w:szCs w:val="28"/>
        </w:rPr>
        <w:t>通过营销学专业基础课程的设置和讲授强化学生营销理论知识；</w:t>
      </w:r>
      <w:r>
        <w:rPr>
          <w:rFonts w:hint="default" w:ascii="Times New Roman" w:hAnsi="Times New Roman" w:eastAsia="宋体" w:cs="Times New Roman"/>
          <w:kern w:val="0"/>
          <w:szCs w:val="28"/>
        </w:rPr>
        <w:t>利用</w:t>
      </w:r>
      <w:r>
        <w:rPr>
          <w:rFonts w:hint="eastAsia" w:ascii="宋体" w:hAnsi="宋体" w:eastAsia="宋体" w:cs="宋体"/>
          <w:kern w:val="0"/>
          <w:szCs w:val="28"/>
        </w:rPr>
        <w:t>“工学交替、产学合作、实验实训、赛学结合”</w:t>
      </w:r>
      <w:r>
        <w:rPr>
          <w:rFonts w:hint="default" w:ascii="Times New Roman" w:hAnsi="Times New Roman" w:eastAsia="宋体" w:cs="Times New Roman"/>
          <w:kern w:val="0"/>
          <w:szCs w:val="28"/>
        </w:rPr>
        <w:t>等手段，开展讲座、实习、各类创新实践与研究</w:t>
      </w:r>
      <w:r>
        <w:rPr>
          <w:rFonts w:hint="eastAsia" w:ascii="宋体" w:hAnsi="宋体" w:eastAsia="宋体" w:cs="宋体"/>
          <w:kern w:val="0"/>
          <w:szCs w:val="28"/>
        </w:rPr>
        <w:t>项目以及社会实践等活动，把</w:t>
      </w:r>
      <w:r>
        <w:rPr>
          <w:kern w:val="0"/>
          <w:szCs w:val="28"/>
        </w:rPr>
        <w:t>营销专业训练渗透在学生的学习和生活中，</w:t>
      </w:r>
      <w:r>
        <w:rPr>
          <w:rFonts w:hint="default" w:ascii="Times New Roman" w:hAnsi="Times New Roman" w:eastAsia="宋体" w:cs="Times New Roman"/>
          <w:bCs w:val="0"/>
          <w:kern w:val="0"/>
          <w:szCs w:val="28"/>
        </w:rPr>
        <w:t>学生学习积极性和有效性显著提高</w:t>
      </w:r>
      <w:r>
        <w:rPr>
          <w:rFonts w:hint="default" w:ascii="Times New Roman" w:hAnsi="Times New Roman" w:eastAsia="宋体" w:cs="Times New Roman"/>
          <w:bCs w:val="0"/>
          <w:kern w:val="0"/>
          <w:szCs w:val="28"/>
          <w:lang w:eastAsia="zh-CN"/>
        </w:rPr>
        <w:t>，</w:t>
      </w:r>
      <w:r>
        <w:rPr>
          <w:rFonts w:hint="default" w:ascii="Times New Roman" w:hAnsi="Times New Roman" w:eastAsia="宋体" w:cs="Times New Roman"/>
          <w:bCs w:val="0"/>
          <w:kern w:val="0"/>
          <w:szCs w:val="28"/>
          <w:lang w:val="en-US" w:eastAsia="zh-CN"/>
        </w:rPr>
        <w:t>实践创新能力不断增强，</w:t>
      </w:r>
      <w:r>
        <w:rPr>
          <w:rFonts w:ascii="Times New Roman" w:hAnsi="Times New Roman" w:cs="Times New Roman"/>
          <w:kern w:val="0"/>
          <w:szCs w:val="28"/>
        </w:rPr>
        <w:t>全方位提</w:t>
      </w:r>
      <w:r>
        <w:rPr>
          <w:kern w:val="0"/>
          <w:szCs w:val="28"/>
        </w:rPr>
        <w:t>升学生创新创业的综合素养，为企业培养了高规格的综合应用型营销人才。</w:t>
      </w:r>
    </w:p>
    <w:bookmarkEnd w:id="116"/>
    <w:bookmarkEnd w:id="117"/>
    <w:bookmarkEnd w:id="118"/>
    <w:p>
      <w:pPr>
        <w:pStyle w:val="3"/>
        <w:pageBreakBefore/>
        <w:spacing w:after="120" w:line="415" w:lineRule="auto"/>
        <w:jc w:val="left"/>
        <w:rPr>
          <w:rFonts w:hint="eastAsia" w:ascii="宋体" w:hAnsi="宋体"/>
          <w:sz w:val="28"/>
          <w:szCs w:val="28"/>
        </w:rPr>
      </w:pPr>
      <w:bookmarkStart w:id="125" w:name="_Toc30916"/>
      <w:r>
        <w:rPr>
          <w:rFonts w:hint="eastAsia" w:ascii="宋体" w:hAnsi="宋体"/>
          <w:sz w:val="28"/>
          <w:szCs w:val="28"/>
        </w:rPr>
        <w:t>9.问题与对策</w:t>
      </w:r>
      <w:bookmarkEnd w:id="125"/>
    </w:p>
    <w:p>
      <w:pPr>
        <w:pStyle w:val="4"/>
        <w:rPr>
          <w:rFonts w:hint="eastAsia" w:ascii="宋体" w:hAnsi="宋体" w:eastAsia="宋体"/>
          <w:b/>
          <w:bCs/>
          <w:sz w:val="24"/>
          <w:szCs w:val="24"/>
          <w:lang w:val="en-US" w:eastAsia="zh-CN"/>
        </w:rPr>
      </w:pPr>
      <w:bookmarkStart w:id="126" w:name="_Toc28636"/>
      <w:bookmarkStart w:id="127" w:name="_Toc22813"/>
      <w:bookmarkStart w:id="128" w:name="_Toc19221"/>
      <w:bookmarkStart w:id="129" w:name="_Toc12350"/>
      <w:bookmarkStart w:id="130" w:name="_Toc27733"/>
      <w:r>
        <w:rPr>
          <w:rFonts w:hint="eastAsia" w:ascii="宋体" w:hAnsi="宋体" w:eastAsia="宋体"/>
          <w:b/>
          <w:bCs/>
          <w:sz w:val="24"/>
          <w:szCs w:val="24"/>
          <w:lang w:val="en-US" w:eastAsia="zh-CN"/>
        </w:rPr>
        <w:t>9.1存在的问题</w:t>
      </w:r>
      <w:bookmarkEnd w:id="126"/>
      <w:bookmarkEnd w:id="127"/>
      <w:bookmarkEnd w:id="128"/>
      <w:bookmarkEnd w:id="129"/>
      <w:bookmarkEnd w:id="130"/>
    </w:p>
    <w:p>
      <w:pPr>
        <w:spacing w:line="360" w:lineRule="auto"/>
        <w:ind w:firstLine="480" w:firstLineChars="200"/>
        <w:jc w:val="both"/>
        <w:rPr>
          <w:szCs w:val="28"/>
        </w:rPr>
      </w:pPr>
      <w:bookmarkStart w:id="131" w:name="_Toc1108"/>
      <w:bookmarkStart w:id="132" w:name="_Toc23224"/>
      <w:bookmarkStart w:id="133" w:name="_Toc17821"/>
      <w:bookmarkStart w:id="134" w:name="_Toc16803"/>
      <w:r>
        <w:rPr>
          <w:rFonts w:hint="eastAsia" w:ascii="宋体" w:hAnsi="宋体" w:eastAsia="宋体" w:cs="宋体"/>
          <w:b w:val="0"/>
          <w:bCs w:val="0"/>
          <w:kern w:val="0"/>
          <w:sz w:val="24"/>
          <w:szCs w:val="28"/>
          <w:lang w:val="en-US" w:eastAsia="zh-CN" w:bidi="ar-SA"/>
        </w:rPr>
        <w:t>其一，专业建设特色不够鲜明，尚未形成发展</w:t>
      </w:r>
      <w:bookmarkEnd w:id="131"/>
      <w:r>
        <w:rPr>
          <w:rFonts w:hint="eastAsia" w:ascii="宋体" w:hAnsi="宋体" w:eastAsia="宋体" w:cs="宋体"/>
          <w:b w:val="0"/>
          <w:bCs w:val="0"/>
          <w:kern w:val="0"/>
          <w:sz w:val="24"/>
          <w:szCs w:val="28"/>
          <w:lang w:val="en-US" w:eastAsia="zh-CN" w:bidi="ar-SA"/>
        </w:rPr>
        <w:t>核心竞争力</w:t>
      </w:r>
      <w:bookmarkEnd w:id="132"/>
      <w:bookmarkEnd w:id="133"/>
      <w:bookmarkEnd w:id="134"/>
      <w:r>
        <w:rPr>
          <w:rFonts w:hint="eastAsia" w:ascii="宋体" w:hAnsi="宋体" w:eastAsia="宋体" w:cs="宋体"/>
          <w:b w:val="0"/>
          <w:bCs w:val="0"/>
          <w:kern w:val="0"/>
          <w:sz w:val="24"/>
          <w:szCs w:val="28"/>
          <w:lang w:val="en-US" w:eastAsia="zh-CN" w:bidi="ar-SA"/>
        </w:rPr>
        <w:t>。</w:t>
      </w:r>
      <w:r>
        <w:rPr>
          <w:kern w:val="0"/>
          <w:szCs w:val="28"/>
        </w:rPr>
        <w:t>本专业经过近</w:t>
      </w:r>
      <w:r>
        <w:rPr>
          <w:rFonts w:hint="default" w:ascii="Times New Roman" w:hAnsi="Times New Roman" w:eastAsia="宋体" w:cs="Times New Roman"/>
          <w:kern w:val="0"/>
          <w:szCs w:val="28"/>
          <w:lang w:eastAsia="zh-CN"/>
        </w:rPr>
        <w:t>30年的发</w:t>
      </w:r>
      <w:r>
        <w:rPr>
          <w:kern w:val="0"/>
          <w:szCs w:val="28"/>
        </w:rPr>
        <w:t>展，</w:t>
      </w:r>
      <w:r>
        <w:rPr>
          <w:color w:val="000000" w:themeColor="text1"/>
          <w:szCs w:val="28"/>
          <w14:textFill>
            <w14:solidFill>
              <w14:schemeClr w14:val="tx1"/>
            </w14:solidFill>
          </w14:textFill>
        </w:rPr>
        <w:t>形</w:t>
      </w:r>
      <w:r>
        <w:rPr>
          <w:rFonts w:hint="eastAsia" w:ascii="宋体" w:hAnsi="宋体" w:eastAsia="宋体" w:cs="宋体"/>
          <w:color w:val="000000" w:themeColor="text1"/>
          <w:szCs w:val="28"/>
          <w14:textFill>
            <w14:solidFill>
              <w14:schemeClr w14:val="tx1"/>
            </w14:solidFill>
          </w14:textFill>
        </w:rPr>
        <w:t>成了“一核心、两产业、三方向”开</w:t>
      </w:r>
      <w:r>
        <w:rPr>
          <w:color w:val="000000" w:themeColor="text1"/>
          <w:szCs w:val="28"/>
          <w14:textFill>
            <w14:solidFill>
              <w14:schemeClr w14:val="tx1"/>
            </w14:solidFill>
          </w14:textFill>
        </w:rPr>
        <w:t>放式跨专业人才特色培养模式。</w:t>
      </w:r>
      <w:r>
        <w:rPr>
          <w:kern w:val="0"/>
          <w:szCs w:val="28"/>
        </w:rPr>
        <w:t>但与上海乃至全国知名管理院校相比，本专业的特色并不鲜明，对于两个产业的聚焦，仅停留在简单的课程设置阶段，产学合作、校企共建等方面均浮于表面，并未针对产业深入开展，也缺乏相应的产业实习基地。加之，当前全球经济社会环境面临重大变革，新技术、新工艺层出不穷，这些都对市场营销领域的人才培养提出了崭新的、更高的要求。尽管本专业为适应上述新形势的发展，做出了一些调整，如开设了大数据营销，新媒体营销等相关课程，编写了《品牌管理》等教材，但鉴于当前市场竞争多元化和营销方式现代化的挑战，人才培养需要更好地面向特色行业发展，产学研合作方式也需要创新。目前本专业缺乏领军人才，人均教师授课多而杂，且大部分教师科研方向无法聚焦，高水平成果较少，更难以做到教学科研相长，因而导致本专业的竞争力与知名度较弱，无法形成发展</w:t>
      </w:r>
      <w:r>
        <w:rPr>
          <w:rFonts w:hint="eastAsia"/>
          <w:kern w:val="0"/>
          <w:szCs w:val="28"/>
          <w:lang w:val="en-US" w:eastAsia="zh-CN"/>
        </w:rPr>
        <w:t>核心竞争力</w:t>
      </w:r>
      <w:r>
        <w:rPr>
          <w:kern w:val="0"/>
          <w:szCs w:val="28"/>
        </w:rPr>
        <w:t>。</w:t>
      </w:r>
    </w:p>
    <w:p>
      <w:pPr>
        <w:spacing w:line="360" w:lineRule="auto"/>
        <w:ind w:firstLine="480" w:firstLineChars="200"/>
        <w:jc w:val="both"/>
        <w:rPr>
          <w:kern w:val="0"/>
          <w:szCs w:val="28"/>
        </w:rPr>
      </w:pPr>
      <w:bookmarkStart w:id="135" w:name="_Toc28720"/>
      <w:bookmarkStart w:id="136" w:name="_Toc28019"/>
      <w:bookmarkStart w:id="137" w:name="_Toc4207"/>
      <w:bookmarkStart w:id="138" w:name="_Toc32760"/>
      <w:r>
        <w:rPr>
          <w:rFonts w:hint="eastAsia" w:ascii="宋体" w:hAnsi="宋体" w:eastAsia="宋体" w:cs="宋体"/>
          <w:b w:val="0"/>
          <w:bCs w:val="0"/>
          <w:kern w:val="0"/>
          <w:sz w:val="24"/>
          <w:szCs w:val="28"/>
          <w:lang w:val="en-US" w:eastAsia="zh-CN" w:bidi="ar-SA"/>
        </w:rPr>
        <w:t>其二，实践教学环节开展不利，校企合作没能有效实施</w:t>
      </w:r>
      <w:bookmarkEnd w:id="135"/>
      <w:bookmarkEnd w:id="136"/>
      <w:bookmarkEnd w:id="137"/>
      <w:bookmarkEnd w:id="138"/>
      <w:r>
        <w:rPr>
          <w:rFonts w:hint="eastAsia" w:ascii="宋体" w:hAnsi="宋体" w:eastAsia="宋体" w:cs="宋体"/>
          <w:b w:val="0"/>
          <w:bCs w:val="0"/>
          <w:kern w:val="0"/>
          <w:sz w:val="24"/>
          <w:szCs w:val="28"/>
          <w:lang w:val="en-US" w:eastAsia="zh-CN" w:bidi="ar-SA"/>
        </w:rPr>
        <w:t>。</w:t>
      </w:r>
      <w:r>
        <w:rPr>
          <w:kern w:val="0"/>
          <w:szCs w:val="28"/>
        </w:rPr>
        <w:t>专业实践体系存在培养目标与企业需求不匹配，课程与实训环节设计不够科学，教学大纲和培养方案中，传统的课堂教学方法仍占据主流，所讲授的教学内容理论课程占比重较大，实践教学所占比重较少，与现实还是有较大的差距。考核方式多以理论考试为主，辅以案例分析和共享的实践应用内容，评价标准不够严谨，缺乏针对性，考试分数不足以客观反映学生对市场营销方法和技能的掌握程度。专业实训体系教学与企业岗位实践技能训练各自为政，互相脱节的现象。虽然专业与相应的企业签署了实习基地协议，但是与这些机构的合作并未切实开展，且受限于专业学生人数和疫情防空要求，实习基地较难提供足够大的场地开展相应实习和实训，同时与企业进行合作中，学校也缺乏所应有条件与能力，专业水平和技术技能不足，难以给予合作企业有效的专业服务，面临不能长久合作的尴尬境地，进而导致学生职业素质与能力没能通过实习实训得以切实的锻炼和提高。</w:t>
      </w:r>
    </w:p>
    <w:p>
      <w:pPr>
        <w:spacing w:line="360" w:lineRule="auto"/>
        <w:ind w:firstLine="480" w:firstLineChars="200"/>
        <w:jc w:val="both"/>
        <w:rPr>
          <w:kern w:val="0"/>
          <w:szCs w:val="28"/>
        </w:rPr>
      </w:pPr>
      <w:bookmarkStart w:id="139" w:name="_Toc7418"/>
      <w:bookmarkStart w:id="140" w:name="_Toc18138"/>
      <w:bookmarkStart w:id="141" w:name="_Toc24406"/>
      <w:bookmarkStart w:id="142" w:name="_Toc9636"/>
      <w:r>
        <w:rPr>
          <w:rFonts w:hint="eastAsia" w:ascii="宋体" w:hAnsi="宋体" w:eastAsia="宋体" w:cs="宋体"/>
          <w:b w:val="0"/>
          <w:bCs w:val="0"/>
          <w:kern w:val="0"/>
          <w:sz w:val="24"/>
          <w:szCs w:val="28"/>
          <w:lang w:val="en-US" w:eastAsia="zh-CN" w:bidi="ar-SA"/>
        </w:rPr>
        <w:t>其三，急需引进专业领军人才，中青年教师培养有待加强</w:t>
      </w:r>
      <w:bookmarkEnd w:id="139"/>
      <w:bookmarkEnd w:id="140"/>
      <w:bookmarkEnd w:id="141"/>
      <w:bookmarkEnd w:id="142"/>
      <w:r>
        <w:rPr>
          <w:rFonts w:hint="eastAsia" w:ascii="宋体" w:hAnsi="宋体" w:eastAsia="宋体" w:cs="宋体"/>
          <w:b w:val="0"/>
          <w:bCs w:val="0"/>
          <w:kern w:val="0"/>
          <w:sz w:val="24"/>
          <w:szCs w:val="28"/>
          <w:lang w:val="en-US" w:eastAsia="zh-CN" w:bidi="ar-SA"/>
        </w:rPr>
        <w:t>。</w:t>
      </w:r>
      <w:r>
        <w:rPr>
          <w:kern w:val="0"/>
          <w:szCs w:val="28"/>
        </w:rPr>
        <w:t>市场营销专业一直重视师资队伍建设，近年来专业教师的数量和质量都有了较大提高，但同国内知名及上海一流高校的市场营销专业相比，还存在着很大的差距，专业底蕴不够深厚，高水平人才比例较低，缺乏在国内有较大影响的专家、教授等专业领军人才。此外，本专业中青年教师较多，他们能够瞄准学科发展前沿开展研究，教学方法灵活，教学理念先进，富有冲劲和干劲；与此同时，他们还普遍处于成长阶段，虽然许多中青年教师在学科领域内已有所建树，学术素养和科研积淀尚不够深厚，缺乏对专业方向的长期深耕，致使高水平研究成果较少，参与国内国际交流多为短期学习，对教师的专业化、国际化水平提高较有限，在个人专业发展方面仍缺乏经验和较为明确的规划，因此，对专业中青年教师的培养仍需加强。</w:t>
      </w:r>
    </w:p>
    <w:p>
      <w:pPr>
        <w:spacing w:line="360" w:lineRule="auto"/>
        <w:ind w:firstLine="480" w:firstLineChars="200"/>
        <w:jc w:val="both"/>
        <w:rPr>
          <w:kern w:val="0"/>
          <w:szCs w:val="28"/>
        </w:rPr>
      </w:pPr>
      <w:bookmarkStart w:id="143" w:name="_Toc26348"/>
      <w:bookmarkStart w:id="144" w:name="_Toc27189"/>
      <w:bookmarkStart w:id="145" w:name="_Toc7065"/>
      <w:bookmarkStart w:id="146" w:name="_Toc22604"/>
      <w:r>
        <w:rPr>
          <w:rFonts w:hint="eastAsia" w:ascii="宋体" w:hAnsi="宋体" w:eastAsia="宋体" w:cs="宋体"/>
          <w:b w:val="0"/>
          <w:bCs w:val="0"/>
          <w:kern w:val="0"/>
          <w:sz w:val="24"/>
          <w:szCs w:val="28"/>
          <w:lang w:val="en-US" w:eastAsia="zh-CN" w:bidi="ar-SA"/>
        </w:rPr>
        <w:t>其四，教师积极性和主动性较低，缺少高质量教育教学成果</w:t>
      </w:r>
      <w:bookmarkEnd w:id="143"/>
      <w:bookmarkEnd w:id="144"/>
      <w:bookmarkEnd w:id="145"/>
      <w:bookmarkEnd w:id="146"/>
      <w:r>
        <w:rPr>
          <w:rFonts w:hint="eastAsia" w:ascii="宋体" w:hAnsi="宋体" w:eastAsia="宋体" w:cs="宋体"/>
          <w:b w:val="0"/>
          <w:bCs w:val="0"/>
          <w:kern w:val="0"/>
          <w:sz w:val="24"/>
          <w:szCs w:val="28"/>
          <w:lang w:val="en-US" w:eastAsia="zh-CN" w:bidi="ar-SA"/>
        </w:rPr>
        <w:t>。</w:t>
      </w:r>
      <w:r>
        <w:rPr>
          <w:kern w:val="0"/>
          <w:szCs w:val="28"/>
        </w:rPr>
        <w:t>近年来，虽然专业教师在教育教学研究方面取得较大进步，获得了教研教改项目和教学成果奖，但总体而言，缺乏高水平的高质量的教育教学成果，如没有校级、市级的重点课程，仅有校级的教学成果奖和教改项目，缺乏市级的教改项目和教学成果奖，指导学生创新创业项目和学科竞赛的教师较少。一方面源于专业中部分教师工作主动性和积极性不高，另一方面，对教学工作的重视度也不够。主要体现在部分教师仅满足于完成本职工作，本职工作外对院部的发展、学科的发展、专业建设、新专业申报及人才培养等工作没有主动献策，参与不积极，缺乏创新与探索。青年教师普遍基础理论和专业知识扎实，对学术观点或现实问题能很快作出反应和判断，善于独立思维，敢于提出自己的见解，思想相对比较开放，但同时，他们自我意识较强，考虑和解决问题，想自己的多，想别人的少；想个人的多，想集体的少，想集体如何满足自己要求的多，想自己如何满足集体要求的少；面对挫折，认为社会或集体存在问题的多，认为自己存在问题的少。另外，有部分大龄教师，他们不再是新进学校的青葱教师，却也还未成为马上到退休年龄的所谓真正意义上的老教师。他们介于上述两者之间，对于所承担的老课程已足够熟悉，却也不再有新鲜感；对于教学流程也已按部就班游刃有余，却也不再有往昔的激情澎湃。而且，受限于知识结构和时间精力，他们较难产出科研教研成果。</w:t>
      </w:r>
    </w:p>
    <w:p>
      <w:pPr>
        <w:pStyle w:val="4"/>
        <w:rPr>
          <w:rFonts w:hint="default" w:ascii="宋体" w:hAnsi="宋体" w:eastAsia="宋体"/>
          <w:b/>
          <w:bCs/>
          <w:sz w:val="24"/>
          <w:szCs w:val="24"/>
          <w:lang w:val="en-US" w:eastAsia="zh-CN"/>
        </w:rPr>
      </w:pPr>
      <w:bookmarkStart w:id="147" w:name="_Toc15979"/>
      <w:bookmarkStart w:id="148" w:name="_Toc14999"/>
      <w:bookmarkStart w:id="149" w:name="_Toc31052"/>
      <w:bookmarkStart w:id="150" w:name="_Toc20740"/>
      <w:bookmarkStart w:id="151" w:name="_Toc20160"/>
      <w:r>
        <w:rPr>
          <w:rFonts w:hint="eastAsia" w:ascii="宋体" w:hAnsi="宋体" w:eastAsia="宋体"/>
          <w:b/>
          <w:bCs/>
          <w:sz w:val="24"/>
          <w:szCs w:val="24"/>
          <w:lang w:val="en-US" w:eastAsia="zh-CN"/>
        </w:rPr>
        <w:t>9.2改进</w:t>
      </w:r>
      <w:bookmarkEnd w:id="147"/>
      <w:bookmarkEnd w:id="148"/>
      <w:bookmarkEnd w:id="149"/>
      <w:bookmarkEnd w:id="150"/>
      <w:r>
        <w:rPr>
          <w:rFonts w:hint="eastAsia" w:ascii="宋体" w:hAnsi="宋体" w:eastAsia="宋体"/>
          <w:b/>
          <w:bCs/>
          <w:sz w:val="24"/>
          <w:szCs w:val="24"/>
          <w:lang w:val="en-US" w:eastAsia="zh-CN"/>
        </w:rPr>
        <w:t>的对策</w:t>
      </w:r>
      <w:bookmarkEnd w:id="151"/>
    </w:p>
    <w:p>
      <w:pPr>
        <w:spacing w:line="360" w:lineRule="auto"/>
        <w:ind w:firstLine="480" w:firstLineChars="200"/>
        <w:jc w:val="both"/>
        <w:rPr>
          <w:kern w:val="0"/>
          <w:szCs w:val="28"/>
        </w:rPr>
      </w:pPr>
      <w:bookmarkStart w:id="152" w:name="_Toc14002"/>
      <w:bookmarkStart w:id="153" w:name="_Toc16875"/>
      <w:bookmarkStart w:id="154" w:name="_Toc11524"/>
      <w:bookmarkStart w:id="155" w:name="_Toc31679"/>
      <w:bookmarkStart w:id="156" w:name="_Toc365245287"/>
      <w:bookmarkStart w:id="157" w:name="_Toc365245883"/>
      <w:bookmarkStart w:id="158" w:name="_Toc436745921"/>
      <w:r>
        <w:rPr>
          <w:rFonts w:hint="eastAsia" w:ascii="宋体" w:hAnsi="宋体" w:eastAsia="宋体" w:cs="宋体"/>
          <w:b w:val="0"/>
          <w:bCs w:val="0"/>
          <w:kern w:val="0"/>
          <w:sz w:val="24"/>
          <w:szCs w:val="28"/>
          <w:lang w:val="en-US" w:eastAsia="zh-CN" w:bidi="ar-SA"/>
        </w:rPr>
        <w:t>其一，努力加强专业特色建设，形成专业发展核心</w:t>
      </w:r>
      <w:bookmarkEnd w:id="152"/>
      <w:r>
        <w:rPr>
          <w:rFonts w:hint="eastAsia" w:ascii="宋体" w:hAnsi="宋体" w:eastAsia="宋体" w:cs="宋体"/>
          <w:b w:val="0"/>
          <w:bCs w:val="0"/>
          <w:kern w:val="0"/>
          <w:sz w:val="24"/>
          <w:szCs w:val="28"/>
          <w:lang w:val="en-US" w:eastAsia="zh-CN" w:bidi="ar-SA"/>
        </w:rPr>
        <w:t>优势</w:t>
      </w:r>
      <w:bookmarkEnd w:id="153"/>
      <w:bookmarkEnd w:id="154"/>
      <w:bookmarkEnd w:id="155"/>
      <w:r>
        <w:rPr>
          <w:rFonts w:hint="eastAsia" w:ascii="宋体" w:hAnsi="宋体" w:eastAsia="宋体" w:cs="宋体"/>
          <w:b w:val="0"/>
          <w:bCs w:val="0"/>
          <w:kern w:val="0"/>
          <w:sz w:val="24"/>
          <w:szCs w:val="28"/>
          <w:lang w:val="en-US" w:eastAsia="zh-CN" w:bidi="ar-SA"/>
        </w:rPr>
        <w:t>。</w:t>
      </w:r>
      <w:r>
        <w:rPr>
          <w:kern w:val="0"/>
          <w:szCs w:val="28"/>
        </w:rPr>
        <w:t>针对本专</w:t>
      </w:r>
      <w:r>
        <w:rPr>
          <w:rFonts w:hint="eastAsia" w:ascii="宋体" w:hAnsi="宋体" w:eastAsia="宋体" w:cs="宋体"/>
          <w:kern w:val="0"/>
          <w:szCs w:val="28"/>
        </w:rPr>
        <w:t>业“</w:t>
      </w:r>
      <w:r>
        <w:rPr>
          <w:rFonts w:hint="eastAsia" w:ascii="宋体" w:hAnsi="宋体" w:eastAsia="宋体" w:cs="宋体"/>
          <w:color w:val="000000"/>
          <w:szCs w:val="28"/>
        </w:rPr>
        <w:t>市场营销专业成为核心主体，引领两翼（服装营销和汽车营销两个方向）”这</w:t>
      </w:r>
      <w:r>
        <w:rPr>
          <w:color w:val="000000"/>
          <w:szCs w:val="28"/>
        </w:rPr>
        <w:t>一特色，</w:t>
      </w:r>
      <w:r>
        <w:rPr>
          <w:kern w:val="0"/>
          <w:szCs w:val="28"/>
        </w:rPr>
        <w:t>积极对标国内知名院校营销专业，</w:t>
      </w:r>
      <w:r>
        <w:rPr>
          <w:color w:val="000000"/>
          <w:szCs w:val="28"/>
        </w:rPr>
        <w:t>优化课程设置、积极引进人才、产出高水平成果、加强校企共建、开展国际合作，</w:t>
      </w:r>
      <w:r>
        <w:rPr>
          <w:kern w:val="0"/>
          <w:szCs w:val="28"/>
        </w:rPr>
        <w:t>提高学生培养质量，促进学科发展，形成专业发展</w:t>
      </w:r>
      <w:r>
        <w:rPr>
          <w:rFonts w:hint="eastAsia"/>
          <w:kern w:val="0"/>
          <w:szCs w:val="28"/>
          <w:lang w:val="en-US" w:eastAsia="zh-CN"/>
        </w:rPr>
        <w:t>核心优势</w:t>
      </w:r>
      <w:r>
        <w:rPr>
          <w:kern w:val="0"/>
          <w:szCs w:val="28"/>
        </w:rPr>
        <w:t>。具体措施如下：</w:t>
      </w:r>
      <w:r>
        <w:rPr>
          <w:rFonts w:hint="default" w:ascii="Times New Roman" w:hAnsi="Times New Roman" w:eastAsia="宋体" w:cs="Times New Roman"/>
          <w:kern w:val="0"/>
          <w:szCs w:val="28"/>
          <w:lang w:eastAsia="zh-CN"/>
        </w:rPr>
        <w:t>（1）加强与国内知名高校、上海兄弟院校间的联系与交流，重点对标国内知名院校的市场营销专业，学习借鉴其办学的成功经验，根据上海经济社会发展需求，进一步优化课程设置，注重课程之间的关联和衔接，梳理并调整平台课程与专业课程之间的关系。（2）激励教师申报高级别</w:t>
      </w:r>
      <w:r>
        <w:rPr>
          <w:rFonts w:hint="eastAsia" w:ascii="Times New Roman" w:hAnsi="Times New Roman" w:eastAsia="宋体" w:cs="Times New Roman"/>
          <w:kern w:val="0"/>
          <w:szCs w:val="28"/>
          <w:lang w:val="en-US" w:eastAsia="zh-CN"/>
        </w:rPr>
        <w:t>教研</w:t>
      </w:r>
      <w:r>
        <w:rPr>
          <w:rFonts w:hint="default" w:ascii="Times New Roman" w:hAnsi="Times New Roman" w:eastAsia="宋体" w:cs="Times New Roman"/>
          <w:kern w:val="0"/>
          <w:szCs w:val="28"/>
          <w:lang w:eastAsia="zh-CN"/>
        </w:rPr>
        <w:t>科研项目，发表高水平</w:t>
      </w:r>
      <w:r>
        <w:rPr>
          <w:rFonts w:hint="eastAsia" w:ascii="Times New Roman" w:hAnsi="Times New Roman" w:eastAsia="宋体" w:cs="Times New Roman"/>
          <w:kern w:val="0"/>
          <w:szCs w:val="28"/>
          <w:lang w:val="en-US" w:eastAsia="zh-CN"/>
        </w:rPr>
        <w:t>科研教研</w:t>
      </w:r>
      <w:r>
        <w:rPr>
          <w:rFonts w:hint="default" w:ascii="Times New Roman" w:hAnsi="Times New Roman" w:eastAsia="宋体" w:cs="Times New Roman"/>
          <w:kern w:val="0"/>
          <w:szCs w:val="28"/>
          <w:lang w:eastAsia="zh-CN"/>
        </w:rPr>
        <w:t>成果，争取国家级、省部级科技</w:t>
      </w:r>
      <w:r>
        <w:rPr>
          <w:rFonts w:hint="eastAsia" w:ascii="Times New Roman" w:hAnsi="Times New Roman" w:eastAsia="宋体" w:cs="Times New Roman"/>
          <w:kern w:val="0"/>
          <w:szCs w:val="28"/>
          <w:lang w:val="en-US" w:eastAsia="zh-CN"/>
        </w:rPr>
        <w:t>奖项</w:t>
      </w:r>
      <w:r>
        <w:rPr>
          <w:rFonts w:hint="default" w:ascii="Times New Roman" w:hAnsi="Times New Roman" w:eastAsia="宋体" w:cs="Times New Roman"/>
          <w:kern w:val="0"/>
          <w:szCs w:val="28"/>
          <w:lang w:eastAsia="zh-CN"/>
        </w:rPr>
        <w:t>，聚焦研究方向，打造</w:t>
      </w:r>
      <w:r>
        <w:rPr>
          <w:rFonts w:hint="eastAsia" w:ascii="Times New Roman" w:hAnsi="Times New Roman" w:eastAsia="宋体" w:cs="Times New Roman"/>
          <w:kern w:val="0"/>
          <w:szCs w:val="28"/>
          <w:lang w:val="en-US" w:eastAsia="zh-CN"/>
        </w:rPr>
        <w:t>高水平的</w:t>
      </w:r>
      <w:r>
        <w:rPr>
          <w:rFonts w:hint="default" w:ascii="Times New Roman" w:hAnsi="Times New Roman" w:eastAsia="宋体" w:cs="Times New Roman"/>
          <w:kern w:val="0"/>
          <w:szCs w:val="28"/>
          <w:lang w:eastAsia="zh-CN"/>
        </w:rPr>
        <w:t>优秀团队。（3）依托学校的工学教育办学优势，与</w:t>
      </w:r>
      <w:r>
        <w:rPr>
          <w:rFonts w:hint="default" w:ascii="Times New Roman" w:hAnsi="Times New Roman" w:eastAsia="宋体" w:cs="Times New Roman"/>
          <w:kern w:val="0"/>
          <w:szCs w:val="28"/>
          <w:lang w:eastAsia="zh-CN"/>
        </w:rPr>
        <w:fldChar w:fldCharType="begin"/>
      </w:r>
      <w:r>
        <w:rPr>
          <w:rFonts w:hint="default" w:ascii="Times New Roman" w:hAnsi="Times New Roman" w:eastAsia="宋体" w:cs="Times New Roman"/>
          <w:kern w:val="0"/>
          <w:szCs w:val="28"/>
          <w:lang w:eastAsia="zh-CN"/>
        </w:rPr>
        <w:instrText xml:space="preserve"> HYPERLINK "http://cfd.sues.edu.cn/" \t "https://www.sues.edu.cn/31/_blank" </w:instrText>
      </w:r>
      <w:r>
        <w:rPr>
          <w:rFonts w:hint="default" w:ascii="Times New Roman" w:hAnsi="Times New Roman" w:eastAsia="宋体" w:cs="Times New Roman"/>
          <w:kern w:val="0"/>
          <w:szCs w:val="28"/>
          <w:lang w:eastAsia="zh-CN"/>
        </w:rPr>
        <w:fldChar w:fldCharType="separate"/>
      </w:r>
      <w:r>
        <w:rPr>
          <w:rFonts w:hint="default" w:ascii="Times New Roman" w:hAnsi="Times New Roman" w:eastAsia="宋体" w:cs="Times New Roman"/>
          <w:kern w:val="0"/>
          <w:szCs w:val="28"/>
          <w:lang w:eastAsia="zh-CN"/>
        </w:rPr>
        <w:t>纺织服装学院</w:t>
      </w:r>
      <w:r>
        <w:rPr>
          <w:rFonts w:hint="default" w:ascii="Times New Roman" w:hAnsi="Times New Roman" w:eastAsia="宋体" w:cs="Times New Roman"/>
          <w:kern w:val="0"/>
          <w:szCs w:val="28"/>
          <w:lang w:eastAsia="zh-CN"/>
        </w:rPr>
        <w:fldChar w:fldCharType="end"/>
      </w:r>
      <w:r>
        <w:rPr>
          <w:rFonts w:hint="default" w:ascii="Times New Roman" w:hAnsi="Times New Roman" w:eastAsia="宋体" w:cs="Times New Roman"/>
          <w:kern w:val="0"/>
          <w:szCs w:val="28"/>
          <w:lang w:eastAsia="zh-CN"/>
        </w:rPr>
        <w:t>和</w:t>
      </w:r>
      <w:r>
        <w:rPr>
          <w:rFonts w:hint="default" w:ascii="Times New Roman" w:hAnsi="Times New Roman" w:eastAsia="宋体" w:cs="Times New Roman"/>
          <w:kern w:val="0"/>
          <w:szCs w:val="28"/>
          <w:lang w:eastAsia="zh-CN"/>
        </w:rPr>
        <w:fldChar w:fldCharType="begin"/>
      </w:r>
      <w:r>
        <w:rPr>
          <w:rFonts w:hint="default" w:ascii="Times New Roman" w:hAnsi="Times New Roman" w:eastAsia="宋体" w:cs="Times New Roman"/>
          <w:kern w:val="0"/>
          <w:szCs w:val="28"/>
          <w:lang w:eastAsia="zh-CN"/>
        </w:rPr>
        <w:instrText xml:space="preserve"> HYPERLINK "http://smae.sues.edu.cn/" \t "https://www.sues.edu.cn/31/_blank" </w:instrText>
      </w:r>
      <w:r>
        <w:rPr>
          <w:rFonts w:hint="default" w:ascii="Times New Roman" w:hAnsi="Times New Roman" w:eastAsia="宋体" w:cs="Times New Roman"/>
          <w:kern w:val="0"/>
          <w:szCs w:val="28"/>
          <w:lang w:eastAsia="zh-CN"/>
        </w:rPr>
        <w:fldChar w:fldCharType="separate"/>
      </w:r>
      <w:r>
        <w:rPr>
          <w:rFonts w:hint="default" w:ascii="Times New Roman" w:hAnsi="Times New Roman" w:eastAsia="宋体" w:cs="Times New Roman"/>
          <w:kern w:val="0"/>
          <w:szCs w:val="28"/>
          <w:lang w:eastAsia="zh-CN"/>
        </w:rPr>
        <w:t>机械与汽车工程学院</w:t>
      </w:r>
      <w:r>
        <w:rPr>
          <w:rFonts w:hint="default" w:ascii="Times New Roman" w:hAnsi="Times New Roman" w:eastAsia="宋体" w:cs="Times New Roman"/>
          <w:kern w:val="0"/>
          <w:szCs w:val="28"/>
          <w:lang w:eastAsia="zh-CN"/>
        </w:rPr>
        <w:fldChar w:fldCharType="end"/>
      </w:r>
      <w:r>
        <w:rPr>
          <w:rFonts w:hint="default" w:ascii="Times New Roman" w:hAnsi="Times New Roman" w:eastAsia="宋体" w:cs="Times New Roman"/>
          <w:kern w:val="0"/>
          <w:szCs w:val="28"/>
          <w:lang w:eastAsia="zh-CN"/>
        </w:rPr>
        <w:t>紧密合作共同制定专业人才培养计划和实习实训方案，同时，针对汽车和服装两个产业，加强和相应的优质企业沟通，构建实习实训基地，根据企业需求开展相关实践活动，增加学生实践的机会，真正立足产业实现校企联动。（4）进一步推动学生短期海外交流生</w:t>
      </w:r>
      <w:r>
        <w:rPr>
          <w:rFonts w:hint="eastAsia" w:ascii="Times New Roman" w:hAnsi="Times New Roman" w:eastAsia="宋体" w:cs="Times New Roman"/>
          <w:kern w:val="0"/>
          <w:szCs w:val="28"/>
          <w:lang w:eastAsia="zh-CN"/>
        </w:rPr>
        <w:t>、</w:t>
      </w:r>
      <w:r>
        <w:rPr>
          <w:rFonts w:hint="eastAsia" w:ascii="Times New Roman" w:hAnsi="Times New Roman" w:eastAsia="宋体" w:cs="Times New Roman"/>
          <w:kern w:val="0"/>
          <w:szCs w:val="28"/>
          <w:lang w:val="en-US" w:eastAsia="zh-CN"/>
        </w:rPr>
        <w:t>夏令营</w:t>
      </w:r>
      <w:r>
        <w:rPr>
          <w:rFonts w:hint="default" w:ascii="Times New Roman" w:hAnsi="Times New Roman" w:eastAsia="宋体" w:cs="Times New Roman"/>
          <w:kern w:val="0"/>
          <w:szCs w:val="28"/>
          <w:lang w:eastAsia="zh-CN"/>
        </w:rPr>
        <w:t>等</w:t>
      </w:r>
      <w:r>
        <w:rPr>
          <w:rFonts w:hint="eastAsia" w:ascii="Times New Roman" w:hAnsi="Times New Roman" w:eastAsia="宋体" w:cs="Times New Roman"/>
          <w:kern w:val="0"/>
          <w:szCs w:val="28"/>
          <w:lang w:val="en-US" w:eastAsia="zh-CN"/>
        </w:rPr>
        <w:t>合作交流</w:t>
      </w:r>
      <w:r>
        <w:rPr>
          <w:rFonts w:hint="default" w:ascii="Times New Roman" w:hAnsi="Times New Roman" w:eastAsia="宋体" w:cs="Times New Roman"/>
          <w:kern w:val="0"/>
          <w:szCs w:val="28"/>
          <w:lang w:eastAsia="zh-CN"/>
        </w:rPr>
        <w:t>项目，促进国际化合作水平，提升专业知名度。</w:t>
      </w:r>
    </w:p>
    <w:bookmarkEnd w:id="156"/>
    <w:bookmarkEnd w:id="157"/>
    <w:bookmarkEnd w:id="158"/>
    <w:p>
      <w:pPr>
        <w:spacing w:line="360" w:lineRule="auto"/>
        <w:ind w:firstLine="480" w:firstLineChars="200"/>
        <w:jc w:val="both"/>
        <w:rPr>
          <w:kern w:val="0"/>
          <w:szCs w:val="28"/>
        </w:rPr>
      </w:pPr>
      <w:bookmarkStart w:id="159" w:name="_Toc13961"/>
      <w:bookmarkStart w:id="160" w:name="_Toc31107"/>
      <w:bookmarkStart w:id="161" w:name="_Toc6512"/>
      <w:bookmarkStart w:id="162" w:name="_Toc17868"/>
      <w:bookmarkStart w:id="163" w:name="_Toc365726820"/>
      <w:bookmarkStart w:id="164" w:name="_Toc365245288"/>
      <w:bookmarkStart w:id="165" w:name="_Toc436745922"/>
      <w:bookmarkStart w:id="166" w:name="_Toc365245884"/>
      <w:r>
        <w:rPr>
          <w:rFonts w:hint="eastAsia" w:ascii="宋体" w:hAnsi="宋体" w:eastAsia="宋体" w:cs="宋体"/>
          <w:b w:val="0"/>
          <w:bCs w:val="0"/>
          <w:kern w:val="0"/>
          <w:sz w:val="24"/>
          <w:szCs w:val="28"/>
          <w:lang w:val="en-US" w:eastAsia="zh-CN" w:bidi="ar-SA"/>
        </w:rPr>
        <w:t>其二，切实完善产教融合体系，促进协同育人能力提升</w:t>
      </w:r>
      <w:bookmarkEnd w:id="159"/>
      <w:bookmarkEnd w:id="160"/>
      <w:bookmarkEnd w:id="161"/>
      <w:bookmarkEnd w:id="162"/>
      <w:r>
        <w:rPr>
          <w:rFonts w:hint="eastAsia" w:ascii="宋体" w:hAnsi="宋体" w:eastAsia="宋体" w:cs="宋体"/>
          <w:b w:val="0"/>
          <w:bCs w:val="0"/>
          <w:kern w:val="0"/>
          <w:sz w:val="24"/>
          <w:szCs w:val="28"/>
          <w:lang w:val="en-US" w:eastAsia="zh-CN" w:bidi="ar-SA"/>
        </w:rPr>
        <w:t>。</w:t>
      </w:r>
      <w:r>
        <w:rPr>
          <w:rFonts w:hint="default" w:ascii="Times New Roman" w:hAnsi="Times New Roman" w:eastAsia="宋体" w:cs="Times New Roman"/>
          <w:kern w:val="0"/>
          <w:szCs w:val="28"/>
          <w:lang w:eastAsia="zh-CN"/>
        </w:rPr>
        <w:t>（1）课</w:t>
      </w:r>
      <w:r>
        <w:rPr>
          <w:kern w:val="0"/>
          <w:szCs w:val="28"/>
        </w:rPr>
        <w:t>程建设应围绕国家产业战略规划和经济社会发展需要，在精品课程、教材建设、教学团队优化、实训实践体系、培养方案等方面与产业相互渗透。持续进行市场营销课程的改造升级，借助我校信息技术、电子电气等学科优势，培养既具备营销专业知识、技能和素养，又掌握数据分析与应用能力，适应数字技术发展要求的高级应用型营销管理人才。在坚持营销专业方向基础上，契合新时代新文科、新商科的高要求，融合新经济新媒体趋势，以专业素养为导向、核心知识能力为主线，构建</w:t>
      </w:r>
      <w:r>
        <w:rPr>
          <w:rFonts w:hint="eastAsia" w:ascii="宋体" w:hAnsi="宋体" w:eastAsia="宋体" w:cs="宋体"/>
          <w:kern w:val="0"/>
          <w:szCs w:val="28"/>
        </w:rPr>
        <w:t>“管理学平台课+市场营销专业课+产业方向课+数智技术特色课”的</w:t>
      </w:r>
      <w:r>
        <w:rPr>
          <w:kern w:val="0"/>
          <w:szCs w:val="28"/>
        </w:rPr>
        <w:t>教学课程体系，打造品牌建设、数字经济、新零售管理、新媒体营销等优质特色课程，以提升学生的品牌意识、创新能力、策划能力和实践能力。同时，与企业合作建设大数据、人工智能、互联网营销等特色鲜明的人才培养实践基地。</w:t>
      </w:r>
      <w:r>
        <w:rPr>
          <w:rFonts w:hint="default" w:ascii="Times New Roman" w:hAnsi="Times New Roman" w:eastAsia="宋体" w:cs="Times New Roman"/>
          <w:kern w:val="0"/>
          <w:szCs w:val="28"/>
          <w:lang w:eastAsia="zh-CN"/>
        </w:rPr>
        <w:t>（2）推</w:t>
      </w:r>
      <w:r>
        <w:rPr>
          <w:kern w:val="0"/>
          <w:szCs w:val="28"/>
        </w:rPr>
        <w:t>动市场营销课程建设的转型升级进程，在增加课程内容设置的难度、深度和厂度，增强市场营销课程的时效性方面下功夫，深化市场营销教学模式的新形态塑造，改革制约和影响教学方法和内容创新的制度性因素，协同创新构建市场营销实践教学质量评价信息化体系。</w:t>
      </w:r>
      <w:r>
        <w:rPr>
          <w:rFonts w:hint="default" w:ascii="Times New Roman" w:hAnsi="Times New Roman" w:eastAsia="宋体" w:cs="Times New Roman"/>
          <w:kern w:val="0"/>
          <w:szCs w:val="28"/>
          <w:lang w:eastAsia="zh-CN"/>
        </w:rPr>
        <w:t>（3）校企</w:t>
      </w:r>
      <w:r>
        <w:rPr>
          <w:kern w:val="0"/>
          <w:szCs w:val="28"/>
        </w:rPr>
        <w:t>合作共同制</w:t>
      </w:r>
      <w:r>
        <w:rPr>
          <w:rFonts w:hint="eastAsia" w:ascii="宋体" w:hAnsi="宋体" w:eastAsia="宋体" w:cs="宋体"/>
          <w:kern w:val="0"/>
          <w:szCs w:val="28"/>
        </w:rPr>
        <w:t>定“双师型”教师</w:t>
      </w:r>
      <w:r>
        <w:rPr>
          <w:kern w:val="0"/>
          <w:szCs w:val="28"/>
        </w:rPr>
        <w:t>团队培育制度，师资优势互补、资源共享，通过教师全程参与学生实习过程、选派教师到企业顶岗实习、参与科研工作、承担横向课题等途径培养在职教师的职业能力和岗位技能，从能力和素质上</w:t>
      </w:r>
      <w:r>
        <w:rPr>
          <w:rFonts w:hint="eastAsia" w:ascii="宋体" w:hAnsi="宋体" w:eastAsia="宋体" w:cs="宋体"/>
          <w:kern w:val="0"/>
          <w:szCs w:val="28"/>
        </w:rPr>
        <w:t>达到“双师型”教师</w:t>
      </w:r>
      <w:r>
        <w:rPr>
          <w:kern w:val="0"/>
          <w:szCs w:val="28"/>
        </w:rPr>
        <w:t>的要求</w:t>
      </w:r>
      <w:r>
        <w:rPr>
          <w:rFonts w:hint="default" w:ascii="Times New Roman" w:hAnsi="Times New Roman" w:eastAsia="宋体" w:cs="Times New Roman"/>
          <w:kern w:val="0"/>
          <w:szCs w:val="28"/>
          <w:lang w:eastAsia="zh-CN"/>
        </w:rPr>
        <w:t>。（4）</w:t>
      </w:r>
      <w:r>
        <w:rPr>
          <w:kern w:val="0"/>
          <w:szCs w:val="28"/>
        </w:rPr>
        <w:t>利用本校应用型大学资源，通过校企合作机制，开展行（企）业状况研究、产品研究、品牌塑造研究、客户满意度研究、新媒体发展研究等等，为地区行业发展、产业转型、企业定位做精准服务。</w:t>
      </w:r>
    </w:p>
    <w:p>
      <w:pPr>
        <w:spacing w:line="360" w:lineRule="auto"/>
        <w:ind w:firstLine="480" w:firstLineChars="200"/>
        <w:jc w:val="both"/>
        <w:rPr>
          <w:szCs w:val="28"/>
        </w:rPr>
      </w:pPr>
      <w:bookmarkStart w:id="167" w:name="_Toc28258"/>
      <w:bookmarkStart w:id="168" w:name="_Toc11376"/>
      <w:bookmarkStart w:id="169" w:name="_Toc23906"/>
      <w:bookmarkStart w:id="170" w:name="_Toc20078"/>
      <w:r>
        <w:rPr>
          <w:rFonts w:hint="eastAsia" w:ascii="宋体" w:hAnsi="宋体" w:eastAsia="宋体" w:cs="宋体"/>
          <w:b w:val="0"/>
          <w:bCs w:val="0"/>
          <w:kern w:val="0"/>
          <w:sz w:val="24"/>
          <w:szCs w:val="28"/>
          <w:lang w:val="en-US" w:eastAsia="zh-CN" w:bidi="ar-SA"/>
        </w:rPr>
        <w:t>其三，大力引进专业领军人才，打造高水平教师队伍</w:t>
      </w:r>
      <w:bookmarkEnd w:id="167"/>
      <w:bookmarkEnd w:id="168"/>
      <w:bookmarkEnd w:id="169"/>
      <w:bookmarkEnd w:id="170"/>
      <w:r>
        <w:rPr>
          <w:rFonts w:hint="eastAsia" w:ascii="宋体" w:hAnsi="宋体" w:eastAsia="宋体" w:cs="宋体"/>
          <w:b w:val="0"/>
          <w:bCs w:val="0"/>
          <w:kern w:val="0"/>
          <w:sz w:val="24"/>
          <w:szCs w:val="28"/>
          <w:lang w:val="en-US" w:eastAsia="zh-CN" w:bidi="ar-SA"/>
        </w:rPr>
        <w:t>。</w:t>
      </w:r>
      <w:r>
        <w:rPr>
          <w:kern w:val="0"/>
          <w:szCs w:val="28"/>
        </w:rPr>
        <w:t>加大</w:t>
      </w:r>
      <w:r>
        <w:rPr>
          <w:szCs w:val="28"/>
        </w:rPr>
        <w:t>人才引进和培育力度，继续推进师资国际化战略，尤其注重引进本领域的高水平领军人才，并以此建立高水平研究团队，加强师资培训，优化师资队伍结构。具体措施如下：</w:t>
      </w:r>
      <w:r>
        <w:rPr>
          <w:rFonts w:hint="default" w:ascii="Times New Roman" w:hAnsi="Times New Roman" w:eastAsia="宋体" w:cs="Times New Roman"/>
          <w:kern w:val="0"/>
          <w:szCs w:val="28"/>
          <w:lang w:eastAsia="zh-CN"/>
        </w:rPr>
        <w:t>（1）</w:t>
      </w:r>
      <w:r>
        <w:rPr>
          <w:szCs w:val="28"/>
        </w:rPr>
        <w:t>加强对青年教师的针对性培养。近年来，本专业引进的青年教师均拥有博士学位，但学科积淀较浅，经验较少，能力不一，需要对他们进行针对性培养，因此，切实推进并完善带教导师制度，从教学指导、科研引路到社会服务真正做</w:t>
      </w:r>
      <w:r>
        <w:rPr>
          <w:rFonts w:hint="eastAsia" w:ascii="宋体" w:hAnsi="宋体" w:eastAsia="宋体" w:cs="宋体"/>
          <w:szCs w:val="28"/>
        </w:rPr>
        <w:t>到“老带新”，形成成熟的“传帮带”体系，指</w:t>
      </w:r>
      <w:r>
        <w:rPr>
          <w:szCs w:val="28"/>
        </w:rPr>
        <w:t>导青年教师制定职业发展规划，促进青年教师尽快适应新环境，做好职业定位，</w:t>
      </w:r>
      <w:r>
        <w:rPr>
          <w:color w:val="333333"/>
          <w:kern w:val="0"/>
          <w:szCs w:val="28"/>
        </w:rPr>
        <w:t>确立人生方向</w:t>
      </w:r>
      <w:r>
        <w:rPr>
          <w:szCs w:val="28"/>
        </w:rPr>
        <w:t>。</w:t>
      </w:r>
      <w:r>
        <w:rPr>
          <w:rFonts w:hint="default" w:ascii="Times New Roman" w:hAnsi="Times New Roman" w:eastAsia="宋体" w:cs="Times New Roman"/>
          <w:kern w:val="0"/>
          <w:szCs w:val="28"/>
          <w:lang w:eastAsia="zh-CN"/>
        </w:rPr>
        <w:t>（2）优</w:t>
      </w:r>
      <w:r>
        <w:rPr>
          <w:szCs w:val="28"/>
        </w:rPr>
        <w:t>化专任教师和兼职教师队伍结构</w:t>
      </w:r>
      <w:bookmarkEnd w:id="163"/>
      <w:r>
        <w:rPr>
          <w:szCs w:val="28"/>
        </w:rPr>
        <w:t>。基于市场营销专业的实操特征，借助上海企业众多的优势，外聘优秀的企业家、管理者作为兼职教师，同</w:t>
      </w:r>
      <w:r>
        <w:rPr>
          <w:rFonts w:hint="eastAsia" w:ascii="宋体" w:hAnsi="宋体" w:eastAsia="宋体" w:cs="宋体"/>
          <w:szCs w:val="28"/>
        </w:rPr>
        <w:t>时，积极引进具有行业、企业从业经验的双师型教师，力图打造一支“具国际视野、能教学科研、懂行业发展”的高水平教师队伍。未来，拟</w:t>
      </w:r>
      <w:r>
        <w:rPr>
          <w:szCs w:val="28"/>
        </w:rPr>
        <w:t>引进1-2名有较高影响力的营销领军人才，1-2名优秀的企业家、管理者兼职导师，1-2名具有企业从业经验的双师型教师。</w:t>
      </w:r>
      <w:r>
        <w:rPr>
          <w:rFonts w:hint="default" w:ascii="Times New Roman" w:hAnsi="Times New Roman" w:eastAsia="宋体" w:cs="Times New Roman"/>
          <w:kern w:val="0"/>
          <w:szCs w:val="28"/>
          <w:lang w:eastAsia="zh-CN"/>
        </w:rPr>
        <w:t>（3）</w:t>
      </w:r>
      <w:r>
        <w:rPr>
          <w:szCs w:val="28"/>
        </w:rPr>
        <w:t>在提高现有专业教师理论水平和业务水平的基础上，继续推进师资国际化战略。继续面向全球招聘具有国际化背景的专业和管理人才担任双语师资和学术科研骨干，让更多的教师参与国际培训，积极组织教师参与各种与管理、营销专业相关的学术研究机构和团体。</w:t>
      </w:r>
      <w:r>
        <w:rPr>
          <w:rFonts w:hint="default" w:ascii="Times New Roman" w:hAnsi="Times New Roman" w:eastAsia="宋体" w:cs="Times New Roman"/>
          <w:kern w:val="0"/>
          <w:szCs w:val="28"/>
          <w:lang w:eastAsia="zh-CN"/>
        </w:rPr>
        <w:t>（4）此外，</w:t>
      </w:r>
      <w:r>
        <w:rPr>
          <w:szCs w:val="28"/>
        </w:rPr>
        <w:t>为适应新文科、新商科背景下市场营销专业发展趋势，凸显和深化专业特色，应加大开展师</w:t>
      </w:r>
      <w:r>
        <w:rPr>
          <w:rFonts w:hint="eastAsia" w:ascii="宋体" w:hAnsi="宋体" w:eastAsia="宋体" w:cs="宋体"/>
          <w:szCs w:val="28"/>
        </w:rPr>
        <w:t>资与“汽车”与“服装”等行业管理人才双向交流力度，鼓励</w:t>
      </w:r>
      <w:r>
        <w:rPr>
          <w:szCs w:val="28"/>
        </w:rPr>
        <w:t>和支持教师参与企业横向课题研究、挂职锻炼、培训咨询等。</w:t>
      </w:r>
    </w:p>
    <w:bookmarkEnd w:id="164"/>
    <w:bookmarkEnd w:id="165"/>
    <w:bookmarkEnd w:id="166"/>
    <w:p>
      <w:pPr>
        <w:spacing w:line="360" w:lineRule="auto"/>
        <w:ind w:firstLine="480" w:firstLineChars="200"/>
        <w:jc w:val="both"/>
        <w:rPr>
          <w:szCs w:val="28"/>
        </w:rPr>
      </w:pPr>
      <w:bookmarkStart w:id="171" w:name="_Toc31545"/>
      <w:bookmarkStart w:id="172" w:name="_Toc17190"/>
      <w:bookmarkStart w:id="173" w:name="_Toc9966"/>
      <w:bookmarkStart w:id="174" w:name="_Toc22149"/>
      <w:r>
        <w:rPr>
          <w:rFonts w:hint="eastAsia" w:ascii="宋体" w:hAnsi="宋体" w:eastAsia="宋体" w:cs="宋体"/>
          <w:b w:val="0"/>
          <w:bCs w:val="0"/>
          <w:kern w:val="0"/>
          <w:sz w:val="24"/>
          <w:szCs w:val="28"/>
          <w:lang w:val="en-US" w:eastAsia="zh-CN" w:bidi="ar-SA"/>
        </w:rPr>
        <w:t>其四，调动和激发教师积极性，培育高质量育人成果</w:t>
      </w:r>
      <w:bookmarkEnd w:id="171"/>
      <w:bookmarkEnd w:id="172"/>
      <w:bookmarkEnd w:id="173"/>
      <w:bookmarkEnd w:id="174"/>
      <w:r>
        <w:rPr>
          <w:rFonts w:hint="eastAsia" w:ascii="宋体" w:hAnsi="宋体" w:eastAsia="宋体" w:cs="宋体"/>
          <w:b w:val="0"/>
          <w:bCs w:val="0"/>
          <w:kern w:val="0"/>
          <w:sz w:val="24"/>
          <w:szCs w:val="28"/>
          <w:lang w:val="en-US" w:eastAsia="zh-CN" w:bidi="ar-SA"/>
        </w:rPr>
        <w:t>。</w:t>
      </w:r>
      <w:r>
        <w:rPr>
          <w:szCs w:val="28"/>
        </w:rPr>
        <w:t>坚持以人为本的管理理念是调动教师积极性的重要保证，应采取科学、民主、高效的管理制度、尤其是有效的激励机制，促进教师积极主动参与工作，以产出高质量的育人成果。</w:t>
      </w:r>
      <w:r>
        <w:rPr>
          <w:rFonts w:hint="default" w:ascii="Times New Roman" w:hAnsi="Times New Roman" w:eastAsia="宋体" w:cs="Times New Roman"/>
          <w:kern w:val="0"/>
          <w:szCs w:val="28"/>
          <w:lang w:eastAsia="zh-CN"/>
        </w:rPr>
        <w:t>（</w:t>
      </w:r>
      <w:r>
        <w:rPr>
          <w:rFonts w:hint="eastAsia" w:ascii="Times New Roman" w:hAnsi="Times New Roman" w:eastAsia="宋体" w:cs="Times New Roman"/>
          <w:kern w:val="0"/>
          <w:szCs w:val="28"/>
          <w:lang w:val="en-US" w:eastAsia="zh-CN"/>
        </w:rPr>
        <w:t>1</w:t>
      </w:r>
      <w:r>
        <w:rPr>
          <w:rFonts w:hint="default" w:ascii="Times New Roman" w:hAnsi="Times New Roman" w:eastAsia="宋体" w:cs="Times New Roman"/>
          <w:kern w:val="0"/>
          <w:szCs w:val="28"/>
          <w:lang w:eastAsia="zh-CN"/>
        </w:rPr>
        <w:t>）</w:t>
      </w:r>
      <w:r>
        <w:rPr>
          <w:szCs w:val="28"/>
        </w:rPr>
        <w:t>营造良好的工作氛围。良好的工作氛围能使教师产生工作激情，从而提高教学质量。开展全方位、多层次的教学交流和科学研讨活动，如教学沙龙讲座、示范观摩课、青教赛、教学培训，推动教</w:t>
      </w:r>
      <w:r>
        <w:rPr>
          <w:rFonts w:hint="eastAsia" w:ascii="宋体" w:hAnsi="宋体" w:cs="宋体"/>
          <w:szCs w:val="28"/>
        </w:rPr>
        <w:t>学“传帮带”</w:t>
      </w:r>
      <w:r>
        <w:rPr>
          <w:szCs w:val="28"/>
        </w:rPr>
        <w:t>，构筑专业教师集体学习和教学互动发展网络，使教师们在工作中互相帮助、互相合作、互相竞争，既增强了教师工作的积极性，又提高了团体的凝聚力和战斗力，切实提高教育教学质量，形成良好的争优创先的氛围。</w:t>
      </w:r>
      <w:r>
        <w:rPr>
          <w:rFonts w:hint="default" w:ascii="Times New Roman" w:hAnsi="Times New Roman" w:eastAsia="宋体" w:cs="Times New Roman"/>
          <w:kern w:val="0"/>
          <w:szCs w:val="28"/>
          <w:lang w:eastAsia="zh-CN"/>
        </w:rPr>
        <w:t>（</w:t>
      </w:r>
      <w:r>
        <w:rPr>
          <w:rFonts w:hint="eastAsia" w:ascii="Times New Roman" w:hAnsi="Times New Roman" w:eastAsia="宋体" w:cs="Times New Roman"/>
          <w:kern w:val="0"/>
          <w:szCs w:val="28"/>
          <w:lang w:val="en-US" w:eastAsia="zh-CN"/>
        </w:rPr>
        <w:t>2</w:t>
      </w:r>
      <w:r>
        <w:rPr>
          <w:rFonts w:hint="default" w:ascii="Times New Roman" w:hAnsi="Times New Roman" w:eastAsia="宋体" w:cs="Times New Roman"/>
          <w:kern w:val="0"/>
          <w:szCs w:val="28"/>
          <w:lang w:eastAsia="zh-CN"/>
        </w:rPr>
        <w:t>）建</w:t>
      </w:r>
      <w:r>
        <w:rPr>
          <w:szCs w:val="28"/>
        </w:rPr>
        <w:t>立健全教师奖励制度。奖励在教学、管理、任务完成情况、师德师风建设等方面作出突出贡献的教师，对每位教师管理、奖励、考核，做到公平合理，健全完善一系列考核评价制度，对教师考核评价工作规范化，制度化，使教师有章可行，也为教师进行自我评价和不断完善提供依据，从而激发和提高教师工作积极性。</w:t>
      </w:r>
      <w:r>
        <w:rPr>
          <w:rFonts w:hint="default" w:ascii="Times New Roman" w:hAnsi="Times New Roman" w:eastAsia="宋体" w:cs="Times New Roman"/>
          <w:kern w:val="0"/>
          <w:szCs w:val="28"/>
          <w:lang w:eastAsia="zh-CN"/>
        </w:rPr>
        <w:t>（</w:t>
      </w:r>
      <w:r>
        <w:rPr>
          <w:rFonts w:hint="eastAsia" w:ascii="Times New Roman" w:hAnsi="Times New Roman" w:eastAsia="宋体" w:cs="Times New Roman"/>
          <w:kern w:val="0"/>
          <w:szCs w:val="28"/>
          <w:lang w:val="en-US" w:eastAsia="zh-CN"/>
        </w:rPr>
        <w:t>3</w:t>
      </w:r>
      <w:r>
        <w:rPr>
          <w:rFonts w:hint="default" w:ascii="Times New Roman" w:hAnsi="Times New Roman" w:eastAsia="宋体" w:cs="Times New Roman"/>
          <w:kern w:val="0"/>
          <w:szCs w:val="28"/>
          <w:lang w:eastAsia="zh-CN"/>
        </w:rPr>
        <w:t>）培</w:t>
      </w:r>
      <w:r>
        <w:rPr>
          <w:szCs w:val="28"/>
        </w:rPr>
        <w:t>育高质量育人成果。</w:t>
      </w:r>
      <w:r>
        <w:rPr>
          <w:rFonts w:hint="eastAsia"/>
          <w:szCs w:val="28"/>
          <w:lang w:val="en-US" w:eastAsia="zh-CN"/>
        </w:rPr>
        <w:t>随着新经济、新媒体、新技术的兴起，</w:t>
      </w:r>
      <w:r>
        <w:rPr>
          <w:szCs w:val="28"/>
        </w:rPr>
        <w:t>市场营销在</w:t>
      </w:r>
      <w:r>
        <w:rPr>
          <w:rFonts w:hint="eastAsia"/>
          <w:szCs w:val="28"/>
          <w:lang w:val="en-US" w:eastAsia="zh-CN"/>
        </w:rPr>
        <w:t>变化的</w:t>
      </w:r>
      <w:r>
        <w:rPr>
          <w:szCs w:val="28"/>
        </w:rPr>
        <w:t>实践中</w:t>
      </w:r>
      <w:r>
        <w:rPr>
          <w:rFonts w:hint="eastAsia"/>
          <w:szCs w:val="28"/>
          <w:lang w:val="en-US" w:eastAsia="zh-CN"/>
        </w:rPr>
        <w:t>也</w:t>
      </w:r>
      <w:r>
        <w:rPr>
          <w:szCs w:val="28"/>
        </w:rPr>
        <w:t>不断</w:t>
      </w:r>
      <w:r>
        <w:rPr>
          <w:rFonts w:hint="eastAsia"/>
          <w:szCs w:val="28"/>
          <w:lang w:val="en-US" w:eastAsia="zh-CN"/>
        </w:rPr>
        <w:t>创新</w:t>
      </w:r>
      <w:r>
        <w:rPr>
          <w:szCs w:val="28"/>
        </w:rPr>
        <w:t>发展，在传统经典营销管理体系的基础上，越来越多的前沿理论不断涌现，以适应全新的竞争环境，包括互联网对新营销的影响与应对、需求链与供应链管理与市场营销的交叉与整合、客户关系与伙伴关系管理以及品牌建设与品牌资产管理</w:t>
      </w:r>
      <w:r>
        <w:rPr>
          <w:rFonts w:hint="eastAsia"/>
          <w:szCs w:val="28"/>
          <w:lang w:eastAsia="zh-CN"/>
        </w:rPr>
        <w:t>、</w:t>
      </w:r>
      <w:r>
        <w:rPr>
          <w:rFonts w:hint="eastAsia"/>
          <w:szCs w:val="28"/>
          <w:lang w:val="en-US" w:eastAsia="zh-CN"/>
        </w:rPr>
        <w:t>新经济背景下营销策略的创新以及新媒体发展对营销的影响</w:t>
      </w:r>
      <w:r>
        <w:rPr>
          <w:szCs w:val="28"/>
        </w:rPr>
        <w:t>等内容，</w:t>
      </w:r>
      <w:r>
        <w:rPr>
          <w:rFonts w:hint="eastAsia"/>
          <w:szCs w:val="28"/>
          <w:lang w:val="en-US" w:eastAsia="zh-CN"/>
        </w:rPr>
        <w:t>需要</w:t>
      </w:r>
      <w:r>
        <w:rPr>
          <w:szCs w:val="28"/>
        </w:rPr>
        <w:t>鼓励老师们积极关注新</w:t>
      </w:r>
      <w:r>
        <w:rPr>
          <w:rFonts w:hint="eastAsia"/>
          <w:szCs w:val="28"/>
          <w:lang w:val="en-US" w:eastAsia="zh-CN"/>
        </w:rPr>
        <w:t>技术、新业态</w:t>
      </w:r>
      <w:r>
        <w:rPr>
          <w:rFonts w:hint="eastAsia"/>
          <w:szCs w:val="28"/>
          <w:lang w:eastAsia="zh-CN"/>
        </w:rPr>
        <w:t>、</w:t>
      </w:r>
      <w:r>
        <w:rPr>
          <w:rFonts w:hint="eastAsia"/>
          <w:szCs w:val="28"/>
          <w:lang w:val="en-US" w:eastAsia="zh-CN"/>
        </w:rPr>
        <w:t>新</w:t>
      </w:r>
      <w:r>
        <w:rPr>
          <w:szCs w:val="28"/>
        </w:rPr>
        <w:t>发展、新趋势，加强教材建设，在教学过程引入并强化新内容，从新概念、新观点、新理论以及新方法等方面进行</w:t>
      </w:r>
      <w:r>
        <w:rPr>
          <w:rFonts w:hint="eastAsia"/>
          <w:szCs w:val="28"/>
          <w:lang w:val="en-US" w:eastAsia="zh-CN"/>
        </w:rPr>
        <w:t>辐射</w:t>
      </w:r>
      <w:r>
        <w:rPr>
          <w:szCs w:val="28"/>
        </w:rPr>
        <w:t>与渗透。同时，</w:t>
      </w:r>
      <w:r>
        <w:rPr>
          <w:rFonts w:hint="eastAsia"/>
          <w:szCs w:val="28"/>
          <w:lang w:val="en-US" w:eastAsia="zh-CN"/>
        </w:rPr>
        <w:t>切实</w:t>
      </w:r>
      <w:r>
        <w:rPr>
          <w:szCs w:val="28"/>
        </w:rPr>
        <w:t>加强案例教学，在目前广泛应用案例教学的基础上，提升案例教学的层次与水平。案例的选择上，紧密结合传统经典营销理论以及前沿理论，即在保留经典案例的同时，适当增加互联网企业</w:t>
      </w:r>
      <w:r>
        <w:rPr>
          <w:rFonts w:hint="eastAsia"/>
          <w:szCs w:val="28"/>
          <w:lang w:eastAsia="zh-CN"/>
        </w:rPr>
        <w:t>、</w:t>
      </w:r>
      <w:r>
        <w:rPr>
          <w:szCs w:val="28"/>
        </w:rPr>
        <w:t>服务型企业的比重</w:t>
      </w:r>
      <w:r>
        <w:rPr>
          <w:rFonts w:hint="eastAsia"/>
          <w:szCs w:val="28"/>
          <w:lang w:eastAsia="zh-CN"/>
        </w:rPr>
        <w:t>，</w:t>
      </w:r>
      <w:r>
        <w:rPr>
          <w:rFonts w:hint="eastAsia"/>
          <w:szCs w:val="28"/>
          <w:lang w:val="en-US" w:eastAsia="zh-CN"/>
        </w:rPr>
        <w:t>补充新媒体、数字经济等内容</w:t>
      </w:r>
      <w:r>
        <w:rPr>
          <w:szCs w:val="28"/>
        </w:rPr>
        <w:t>，同时课堂采用</w:t>
      </w:r>
      <w:r>
        <w:rPr>
          <w:rFonts w:hint="eastAsia"/>
          <w:szCs w:val="28"/>
          <w:lang w:val="en-US" w:eastAsia="zh-CN"/>
        </w:rPr>
        <w:t>多种形式，如</w:t>
      </w:r>
      <w:r>
        <w:rPr>
          <w:szCs w:val="28"/>
        </w:rPr>
        <w:t>分组讨论、角色模拟、辩论等方式激发学生学习兴趣，培养学生</w:t>
      </w:r>
      <w:r>
        <w:rPr>
          <w:rFonts w:hint="eastAsia"/>
          <w:szCs w:val="28"/>
          <w:lang w:val="en-US" w:eastAsia="zh-CN"/>
        </w:rPr>
        <w:t>独立思考、勤于探索的精神和</w:t>
      </w:r>
      <w:r>
        <w:rPr>
          <w:szCs w:val="28"/>
        </w:rPr>
        <w:t>分析问题、解决问题的能力。在此基础上，总结心得和体会，鼓励教师们申报重点课程和教改项目，以促进教学方法更新，教学能力提升，进一步深耕课程教学，提高育人效果。</w:t>
      </w:r>
    </w:p>
    <w:p/>
    <w:sectPr>
      <w:footerReference r:id="rId5" w:type="default"/>
      <w:type w:val="continuous"/>
      <w:pgSz w:w="11906" w:h="16838"/>
      <w:pgMar w:top="1440" w:right="1800" w:bottom="1440" w:left="1800"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Noto Sans Mono CJK JP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D187D"/>
    <w:multiLevelType w:val="singleLevel"/>
    <w:tmpl w:val="887D187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MjcyNGE4NGIxM2I4ZGZlYjlmNzE2NGQ3OTQ4NGYifQ=="/>
  </w:docVars>
  <w:rsids>
    <w:rsidRoot w:val="0054186C"/>
    <w:rsid w:val="000147A6"/>
    <w:rsid w:val="000232EC"/>
    <w:rsid w:val="000376E8"/>
    <w:rsid w:val="000827A3"/>
    <w:rsid w:val="00092B09"/>
    <w:rsid w:val="000A4A8E"/>
    <w:rsid w:val="000A6EA2"/>
    <w:rsid w:val="000B2965"/>
    <w:rsid w:val="000C5096"/>
    <w:rsid w:val="000D257F"/>
    <w:rsid w:val="000E14E9"/>
    <w:rsid w:val="000E6FA3"/>
    <w:rsid w:val="00141505"/>
    <w:rsid w:val="001535F0"/>
    <w:rsid w:val="00156644"/>
    <w:rsid w:val="00164DCB"/>
    <w:rsid w:val="00165054"/>
    <w:rsid w:val="00176907"/>
    <w:rsid w:val="00191D7C"/>
    <w:rsid w:val="001944A0"/>
    <w:rsid w:val="001D2E93"/>
    <w:rsid w:val="001D66EF"/>
    <w:rsid w:val="001F1060"/>
    <w:rsid w:val="002005D2"/>
    <w:rsid w:val="002123E7"/>
    <w:rsid w:val="00225EF1"/>
    <w:rsid w:val="00242E0B"/>
    <w:rsid w:val="00263B5B"/>
    <w:rsid w:val="002814D0"/>
    <w:rsid w:val="002A4CDF"/>
    <w:rsid w:val="002F4257"/>
    <w:rsid w:val="00337A06"/>
    <w:rsid w:val="00356E3E"/>
    <w:rsid w:val="00360200"/>
    <w:rsid w:val="00383CB3"/>
    <w:rsid w:val="003A5DC9"/>
    <w:rsid w:val="003B5743"/>
    <w:rsid w:val="003B5821"/>
    <w:rsid w:val="003D4237"/>
    <w:rsid w:val="003E3C59"/>
    <w:rsid w:val="003E684A"/>
    <w:rsid w:val="003F7065"/>
    <w:rsid w:val="00400D8F"/>
    <w:rsid w:val="0043005D"/>
    <w:rsid w:val="00485557"/>
    <w:rsid w:val="0049281E"/>
    <w:rsid w:val="00492D16"/>
    <w:rsid w:val="004A29AB"/>
    <w:rsid w:val="004C4E32"/>
    <w:rsid w:val="004C5078"/>
    <w:rsid w:val="004D3393"/>
    <w:rsid w:val="004E18DE"/>
    <w:rsid w:val="0054186C"/>
    <w:rsid w:val="005C4D52"/>
    <w:rsid w:val="00605D42"/>
    <w:rsid w:val="00644138"/>
    <w:rsid w:val="00652619"/>
    <w:rsid w:val="00662EA1"/>
    <w:rsid w:val="00663B33"/>
    <w:rsid w:val="0067425A"/>
    <w:rsid w:val="006F1096"/>
    <w:rsid w:val="0071499E"/>
    <w:rsid w:val="007165BA"/>
    <w:rsid w:val="00727DD0"/>
    <w:rsid w:val="00730C50"/>
    <w:rsid w:val="007549AC"/>
    <w:rsid w:val="0075762C"/>
    <w:rsid w:val="0078195A"/>
    <w:rsid w:val="007849F0"/>
    <w:rsid w:val="0079395C"/>
    <w:rsid w:val="007A5545"/>
    <w:rsid w:val="007C5E14"/>
    <w:rsid w:val="007E3FE5"/>
    <w:rsid w:val="007E49C2"/>
    <w:rsid w:val="007F2627"/>
    <w:rsid w:val="00816350"/>
    <w:rsid w:val="00836A73"/>
    <w:rsid w:val="00840DC7"/>
    <w:rsid w:val="008471D9"/>
    <w:rsid w:val="00877FB8"/>
    <w:rsid w:val="00884201"/>
    <w:rsid w:val="00884A2C"/>
    <w:rsid w:val="008E01F5"/>
    <w:rsid w:val="008F1E13"/>
    <w:rsid w:val="00902E1E"/>
    <w:rsid w:val="009072BA"/>
    <w:rsid w:val="00916339"/>
    <w:rsid w:val="00925B49"/>
    <w:rsid w:val="009805AF"/>
    <w:rsid w:val="00990C06"/>
    <w:rsid w:val="00994D35"/>
    <w:rsid w:val="009B1C45"/>
    <w:rsid w:val="009F06FE"/>
    <w:rsid w:val="00A30E1C"/>
    <w:rsid w:val="00A47CAE"/>
    <w:rsid w:val="00A67438"/>
    <w:rsid w:val="00A9217F"/>
    <w:rsid w:val="00AC5372"/>
    <w:rsid w:val="00AD593B"/>
    <w:rsid w:val="00B248C0"/>
    <w:rsid w:val="00B572EB"/>
    <w:rsid w:val="00B7496E"/>
    <w:rsid w:val="00B76409"/>
    <w:rsid w:val="00BF21C6"/>
    <w:rsid w:val="00C0158E"/>
    <w:rsid w:val="00C13054"/>
    <w:rsid w:val="00C20FA2"/>
    <w:rsid w:val="00C4403F"/>
    <w:rsid w:val="00C544B0"/>
    <w:rsid w:val="00C56CD4"/>
    <w:rsid w:val="00C867E7"/>
    <w:rsid w:val="00CF36EB"/>
    <w:rsid w:val="00D119DB"/>
    <w:rsid w:val="00D13A6E"/>
    <w:rsid w:val="00D47C1A"/>
    <w:rsid w:val="00D5367E"/>
    <w:rsid w:val="00D61529"/>
    <w:rsid w:val="00D93A2F"/>
    <w:rsid w:val="00D96714"/>
    <w:rsid w:val="00DA7182"/>
    <w:rsid w:val="00DB3BB4"/>
    <w:rsid w:val="00E12321"/>
    <w:rsid w:val="00E138B4"/>
    <w:rsid w:val="00E30105"/>
    <w:rsid w:val="00E61680"/>
    <w:rsid w:val="00EE2B30"/>
    <w:rsid w:val="00EE64EC"/>
    <w:rsid w:val="00EE7547"/>
    <w:rsid w:val="00EF305C"/>
    <w:rsid w:val="00F01231"/>
    <w:rsid w:val="00F34C8E"/>
    <w:rsid w:val="00F57C6E"/>
    <w:rsid w:val="00FA30CC"/>
    <w:rsid w:val="00FD25C8"/>
    <w:rsid w:val="00FE323B"/>
    <w:rsid w:val="012A0989"/>
    <w:rsid w:val="01797331"/>
    <w:rsid w:val="01CC1A40"/>
    <w:rsid w:val="02201D8C"/>
    <w:rsid w:val="023D293E"/>
    <w:rsid w:val="0388408C"/>
    <w:rsid w:val="03A32C74"/>
    <w:rsid w:val="03C23312"/>
    <w:rsid w:val="042711AF"/>
    <w:rsid w:val="043438CC"/>
    <w:rsid w:val="05123C0E"/>
    <w:rsid w:val="05137986"/>
    <w:rsid w:val="055B3806"/>
    <w:rsid w:val="05A76A4C"/>
    <w:rsid w:val="0616597F"/>
    <w:rsid w:val="06DB7981"/>
    <w:rsid w:val="06DF3FC3"/>
    <w:rsid w:val="074F1149"/>
    <w:rsid w:val="077C5CB6"/>
    <w:rsid w:val="084A7B62"/>
    <w:rsid w:val="08D833C0"/>
    <w:rsid w:val="09F75AC8"/>
    <w:rsid w:val="09F935EE"/>
    <w:rsid w:val="0AAE262A"/>
    <w:rsid w:val="0ACE6829"/>
    <w:rsid w:val="0B7F3FC7"/>
    <w:rsid w:val="0EBB3568"/>
    <w:rsid w:val="0F4075C9"/>
    <w:rsid w:val="0F582B65"/>
    <w:rsid w:val="0F8C280E"/>
    <w:rsid w:val="101A606C"/>
    <w:rsid w:val="11CB3AC2"/>
    <w:rsid w:val="12371157"/>
    <w:rsid w:val="123D6042"/>
    <w:rsid w:val="12C16C73"/>
    <w:rsid w:val="12ED5CBA"/>
    <w:rsid w:val="13824654"/>
    <w:rsid w:val="13C20EF5"/>
    <w:rsid w:val="13D12EE6"/>
    <w:rsid w:val="14045069"/>
    <w:rsid w:val="14860174"/>
    <w:rsid w:val="14A405FA"/>
    <w:rsid w:val="14F96B98"/>
    <w:rsid w:val="15076E78"/>
    <w:rsid w:val="15475B55"/>
    <w:rsid w:val="17C92852"/>
    <w:rsid w:val="17DB4333"/>
    <w:rsid w:val="1A18361C"/>
    <w:rsid w:val="1B8A679C"/>
    <w:rsid w:val="1C723D71"/>
    <w:rsid w:val="1EA96F39"/>
    <w:rsid w:val="2059673D"/>
    <w:rsid w:val="20931C4F"/>
    <w:rsid w:val="20C718F8"/>
    <w:rsid w:val="21311468"/>
    <w:rsid w:val="223B434C"/>
    <w:rsid w:val="22CA3922"/>
    <w:rsid w:val="230230BC"/>
    <w:rsid w:val="231132FF"/>
    <w:rsid w:val="23151041"/>
    <w:rsid w:val="237D0994"/>
    <w:rsid w:val="24415E66"/>
    <w:rsid w:val="244F0582"/>
    <w:rsid w:val="246A53BC"/>
    <w:rsid w:val="24BB79C6"/>
    <w:rsid w:val="24C73138"/>
    <w:rsid w:val="24CD14A7"/>
    <w:rsid w:val="26920BFA"/>
    <w:rsid w:val="26DC3C24"/>
    <w:rsid w:val="26F45411"/>
    <w:rsid w:val="277B51EB"/>
    <w:rsid w:val="27DF1C1D"/>
    <w:rsid w:val="28011B94"/>
    <w:rsid w:val="28173165"/>
    <w:rsid w:val="28506677"/>
    <w:rsid w:val="2879797C"/>
    <w:rsid w:val="289A78F2"/>
    <w:rsid w:val="28CF1C92"/>
    <w:rsid w:val="29235B3A"/>
    <w:rsid w:val="29AB6B74"/>
    <w:rsid w:val="2AA35184"/>
    <w:rsid w:val="2ACD2201"/>
    <w:rsid w:val="2B204A27"/>
    <w:rsid w:val="2B2D0EF2"/>
    <w:rsid w:val="2C7212B2"/>
    <w:rsid w:val="2EF02962"/>
    <w:rsid w:val="2FB92D54"/>
    <w:rsid w:val="2FCF4325"/>
    <w:rsid w:val="2FE36023"/>
    <w:rsid w:val="301F52AD"/>
    <w:rsid w:val="3179279B"/>
    <w:rsid w:val="320C1861"/>
    <w:rsid w:val="3240150B"/>
    <w:rsid w:val="329B2BE5"/>
    <w:rsid w:val="32BA306B"/>
    <w:rsid w:val="3311015E"/>
    <w:rsid w:val="34384B8F"/>
    <w:rsid w:val="344352E2"/>
    <w:rsid w:val="34474DD2"/>
    <w:rsid w:val="345D63A4"/>
    <w:rsid w:val="351A6043"/>
    <w:rsid w:val="35223149"/>
    <w:rsid w:val="36E7464B"/>
    <w:rsid w:val="370451FC"/>
    <w:rsid w:val="38392C84"/>
    <w:rsid w:val="38BD38B5"/>
    <w:rsid w:val="39CD5D7A"/>
    <w:rsid w:val="3A0948D8"/>
    <w:rsid w:val="3B710987"/>
    <w:rsid w:val="3C3F2833"/>
    <w:rsid w:val="3D0E0B83"/>
    <w:rsid w:val="3EFE4C27"/>
    <w:rsid w:val="3F626F64"/>
    <w:rsid w:val="3FC06CA7"/>
    <w:rsid w:val="3FCC262F"/>
    <w:rsid w:val="401A339B"/>
    <w:rsid w:val="40204729"/>
    <w:rsid w:val="403703F1"/>
    <w:rsid w:val="40582115"/>
    <w:rsid w:val="41850CE8"/>
    <w:rsid w:val="421226FF"/>
    <w:rsid w:val="4283791D"/>
    <w:rsid w:val="42ED2FE9"/>
    <w:rsid w:val="435412BA"/>
    <w:rsid w:val="43811983"/>
    <w:rsid w:val="44352E99"/>
    <w:rsid w:val="447A4D50"/>
    <w:rsid w:val="489932CB"/>
    <w:rsid w:val="490B41C9"/>
    <w:rsid w:val="4A266DE0"/>
    <w:rsid w:val="4A5D4EF8"/>
    <w:rsid w:val="4AF75521"/>
    <w:rsid w:val="4C9E7102"/>
    <w:rsid w:val="4CE27936"/>
    <w:rsid w:val="4E8C5DAC"/>
    <w:rsid w:val="4ED84B4D"/>
    <w:rsid w:val="4EEA4880"/>
    <w:rsid w:val="4FA3633E"/>
    <w:rsid w:val="4FB54E8E"/>
    <w:rsid w:val="505428F9"/>
    <w:rsid w:val="50923421"/>
    <w:rsid w:val="5245699D"/>
    <w:rsid w:val="53037A15"/>
    <w:rsid w:val="5479292E"/>
    <w:rsid w:val="54F71AA5"/>
    <w:rsid w:val="570861EB"/>
    <w:rsid w:val="570D735E"/>
    <w:rsid w:val="58931AE5"/>
    <w:rsid w:val="59D979CB"/>
    <w:rsid w:val="59E20F76"/>
    <w:rsid w:val="5AB02E22"/>
    <w:rsid w:val="5B4517BC"/>
    <w:rsid w:val="5B5B3832"/>
    <w:rsid w:val="5C272C70"/>
    <w:rsid w:val="5CCB3F43"/>
    <w:rsid w:val="5CFF1E3E"/>
    <w:rsid w:val="5D3A2E77"/>
    <w:rsid w:val="5D69550A"/>
    <w:rsid w:val="5F702B80"/>
    <w:rsid w:val="61572249"/>
    <w:rsid w:val="61693D2A"/>
    <w:rsid w:val="619E1C26"/>
    <w:rsid w:val="63312626"/>
    <w:rsid w:val="635822A8"/>
    <w:rsid w:val="638E5CCA"/>
    <w:rsid w:val="63C11BFC"/>
    <w:rsid w:val="645E744B"/>
    <w:rsid w:val="646A4041"/>
    <w:rsid w:val="64794284"/>
    <w:rsid w:val="647A1DAB"/>
    <w:rsid w:val="64CC6AAA"/>
    <w:rsid w:val="66524D8D"/>
    <w:rsid w:val="66611474"/>
    <w:rsid w:val="66756CCD"/>
    <w:rsid w:val="66B15297"/>
    <w:rsid w:val="673B3A73"/>
    <w:rsid w:val="676C00D0"/>
    <w:rsid w:val="67892A30"/>
    <w:rsid w:val="67EE31DB"/>
    <w:rsid w:val="68183DB4"/>
    <w:rsid w:val="688F051A"/>
    <w:rsid w:val="6BD6020E"/>
    <w:rsid w:val="6D08089B"/>
    <w:rsid w:val="6D3A657B"/>
    <w:rsid w:val="6D48513C"/>
    <w:rsid w:val="6D6A3304"/>
    <w:rsid w:val="6E337B9A"/>
    <w:rsid w:val="6F481423"/>
    <w:rsid w:val="6FFB0243"/>
    <w:rsid w:val="706202C3"/>
    <w:rsid w:val="7080699B"/>
    <w:rsid w:val="71867ABD"/>
    <w:rsid w:val="72D82ABE"/>
    <w:rsid w:val="73306456"/>
    <w:rsid w:val="744F5002"/>
    <w:rsid w:val="74D07EF1"/>
    <w:rsid w:val="75022465"/>
    <w:rsid w:val="753D4E5A"/>
    <w:rsid w:val="7552152F"/>
    <w:rsid w:val="761107C1"/>
    <w:rsid w:val="7682521B"/>
    <w:rsid w:val="77AE203F"/>
    <w:rsid w:val="78A551F0"/>
    <w:rsid w:val="7927654D"/>
    <w:rsid w:val="79D00993"/>
    <w:rsid w:val="7A7C01D3"/>
    <w:rsid w:val="7ABC4A73"/>
    <w:rsid w:val="7B193C74"/>
    <w:rsid w:val="7BE129E3"/>
    <w:rsid w:val="7DCB394B"/>
    <w:rsid w:val="7E4E61F3"/>
    <w:rsid w:val="7F47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5"/>
    <w:autoRedefine/>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29"/>
    <w:autoRedefine/>
    <w:qFormat/>
    <w:uiPriority w:val="9"/>
    <w:pPr>
      <w:keepNext/>
      <w:keepLines/>
      <w:widowControl w:val="0"/>
      <w:spacing w:before="260" w:after="260" w:line="416" w:lineRule="auto"/>
      <w:jc w:val="both"/>
      <w:outlineLvl w:val="1"/>
    </w:pPr>
    <w:rPr>
      <w:rFonts w:ascii="Cambria" w:hAnsi="Cambria" w:cs="Times New Roman"/>
      <w:b/>
      <w:bCs/>
      <w:kern w:val="2"/>
      <w:sz w:val="32"/>
      <w:szCs w:val="32"/>
    </w:rPr>
  </w:style>
  <w:style w:type="paragraph" w:styleId="4">
    <w:name w:val="heading 3"/>
    <w:basedOn w:val="1"/>
    <w:next w:val="1"/>
    <w:link w:val="30"/>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5">
    <w:name w:val="heading 4"/>
    <w:basedOn w:val="1"/>
    <w:next w:val="1"/>
    <w:link w:val="3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autoRedefine/>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link w:val="32"/>
    <w:autoRedefine/>
    <w:semiHidden/>
    <w:unhideWhenUsed/>
    <w:qFormat/>
    <w:uiPriority w:val="99"/>
  </w:style>
  <w:style w:type="paragraph" w:styleId="8">
    <w:name w:val="Body Text"/>
    <w:basedOn w:val="1"/>
    <w:link w:val="23"/>
    <w:autoRedefine/>
    <w:semiHidden/>
    <w:unhideWhenUsed/>
    <w:qFormat/>
    <w:uiPriority w:val="99"/>
    <w:pPr>
      <w:spacing w:before="100" w:beforeAutospacing="1" w:after="100" w:afterAutospacing="1"/>
    </w:pPr>
  </w:style>
  <w:style w:type="paragraph" w:styleId="9">
    <w:name w:val="toc 3"/>
    <w:basedOn w:val="1"/>
    <w:next w:val="1"/>
    <w:autoRedefine/>
    <w:unhideWhenUsed/>
    <w:qFormat/>
    <w:uiPriority w:val="39"/>
    <w:pPr>
      <w:tabs>
        <w:tab w:val="right" w:leader="dot" w:pos="8296"/>
      </w:tabs>
      <w:spacing w:line="360" w:lineRule="auto"/>
      <w:ind w:left="960" w:leftChars="400"/>
    </w:pPr>
  </w:style>
  <w:style w:type="paragraph" w:styleId="10">
    <w:name w:val="Date"/>
    <w:basedOn w:val="1"/>
    <w:next w:val="1"/>
    <w:link w:val="26"/>
    <w:autoRedefine/>
    <w:semiHidden/>
    <w:unhideWhenUsed/>
    <w:qFormat/>
    <w:uiPriority w:val="99"/>
    <w:pPr>
      <w:ind w:left="100" w:leftChars="2500"/>
    </w:pPr>
  </w:style>
  <w:style w:type="paragraph" w:styleId="11">
    <w:name w:val="endnote text"/>
    <w:basedOn w:val="1"/>
    <w:link w:val="34"/>
    <w:autoRedefine/>
    <w:semiHidden/>
    <w:unhideWhenUsed/>
    <w:qFormat/>
    <w:uiPriority w:val="99"/>
    <w:pPr>
      <w:snapToGrid w:val="0"/>
    </w:pPr>
  </w:style>
  <w:style w:type="paragraph" w:styleId="12">
    <w:name w:val="footer"/>
    <w:basedOn w:val="1"/>
    <w:link w:val="36"/>
    <w:autoRedefine/>
    <w:unhideWhenUsed/>
    <w:qFormat/>
    <w:uiPriority w:val="99"/>
    <w:pPr>
      <w:tabs>
        <w:tab w:val="center" w:pos="4153"/>
        <w:tab w:val="right" w:pos="8306"/>
      </w:tabs>
      <w:snapToGrid w:val="0"/>
    </w:pPr>
    <w:rPr>
      <w:sz w:val="18"/>
      <w:szCs w:val="18"/>
    </w:rPr>
  </w:style>
  <w:style w:type="paragraph" w:styleId="13">
    <w:name w:val="header"/>
    <w:basedOn w:val="1"/>
    <w:link w:val="35"/>
    <w:autoRedefine/>
    <w:unhideWhenUsed/>
    <w:qFormat/>
    <w:uiPriority w:val="99"/>
    <w:pP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ind w:left="420" w:leftChars="200"/>
    </w:pPr>
  </w:style>
  <w:style w:type="paragraph" w:styleId="1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ndnote reference"/>
    <w:basedOn w:val="19"/>
    <w:autoRedefine/>
    <w:semiHidden/>
    <w:unhideWhenUsed/>
    <w:qFormat/>
    <w:uiPriority w:val="99"/>
    <w:rPr>
      <w:vertAlign w:val="superscript"/>
    </w:rPr>
  </w:style>
  <w:style w:type="character" w:styleId="21">
    <w:name w:val="Hyperlink"/>
    <w:basedOn w:val="19"/>
    <w:autoRedefine/>
    <w:unhideWhenUsed/>
    <w:qFormat/>
    <w:uiPriority w:val="99"/>
    <w:rPr>
      <w:color w:val="0563C1" w:themeColor="hyperlink"/>
      <w:u w:val="single"/>
      <w14:textFill>
        <w14:solidFill>
          <w14:schemeClr w14:val="hlink"/>
        </w14:solidFill>
      </w14:textFill>
    </w:rPr>
  </w:style>
  <w:style w:type="character" w:styleId="22">
    <w:name w:val="annotation reference"/>
    <w:basedOn w:val="19"/>
    <w:autoRedefine/>
    <w:semiHidden/>
    <w:unhideWhenUsed/>
    <w:qFormat/>
    <w:uiPriority w:val="99"/>
    <w:rPr>
      <w:sz w:val="21"/>
      <w:szCs w:val="21"/>
    </w:rPr>
  </w:style>
  <w:style w:type="character" w:customStyle="1" w:styleId="23">
    <w:name w:val="Body Text Char"/>
    <w:basedOn w:val="19"/>
    <w:link w:val="8"/>
    <w:autoRedefine/>
    <w:semiHidden/>
    <w:qFormat/>
    <w:uiPriority w:val="99"/>
    <w:rPr>
      <w:rFonts w:ascii="宋体" w:hAnsi="宋体" w:eastAsia="宋体" w:cs="宋体"/>
      <w:kern w:val="0"/>
      <w:sz w:val="24"/>
      <w:szCs w:val="24"/>
    </w:rPr>
  </w:style>
  <w:style w:type="paragraph" w:customStyle="1" w:styleId="24">
    <w:name w:val="11"/>
    <w:basedOn w:val="1"/>
    <w:autoRedefine/>
    <w:semiHidden/>
    <w:qFormat/>
    <w:uiPriority w:val="99"/>
    <w:pPr>
      <w:spacing w:before="100" w:beforeAutospacing="1" w:after="100" w:afterAutospacing="1"/>
    </w:pPr>
  </w:style>
  <w:style w:type="character" w:customStyle="1" w:styleId="25">
    <w:name w:val="Heading 1 Char"/>
    <w:basedOn w:val="19"/>
    <w:link w:val="2"/>
    <w:autoRedefine/>
    <w:qFormat/>
    <w:uiPriority w:val="9"/>
    <w:rPr>
      <w:b/>
      <w:bCs/>
      <w:kern w:val="44"/>
      <w:sz w:val="44"/>
      <w:szCs w:val="44"/>
    </w:rPr>
  </w:style>
  <w:style w:type="character" w:customStyle="1" w:styleId="26">
    <w:name w:val="Date Char"/>
    <w:basedOn w:val="19"/>
    <w:link w:val="10"/>
    <w:autoRedefine/>
    <w:semiHidden/>
    <w:qFormat/>
    <w:uiPriority w:val="99"/>
    <w:rPr>
      <w:rFonts w:ascii="宋体" w:hAnsi="宋体" w:eastAsia="宋体" w:cs="宋体"/>
      <w:kern w:val="0"/>
      <w:sz w:val="24"/>
      <w:szCs w:val="24"/>
    </w:rPr>
  </w:style>
  <w:style w:type="paragraph" w:customStyle="1" w:styleId="27">
    <w:name w:val="21"/>
    <w:basedOn w:val="1"/>
    <w:autoRedefine/>
    <w:semiHidden/>
    <w:qFormat/>
    <w:uiPriority w:val="99"/>
    <w:pPr>
      <w:spacing w:before="100" w:beforeAutospacing="1" w:after="100" w:afterAutospacing="1"/>
    </w:pPr>
  </w:style>
  <w:style w:type="paragraph" w:customStyle="1" w:styleId="28">
    <w:name w:val="tableparagraph"/>
    <w:basedOn w:val="1"/>
    <w:autoRedefine/>
    <w:semiHidden/>
    <w:qFormat/>
    <w:uiPriority w:val="99"/>
    <w:pPr>
      <w:spacing w:before="100" w:beforeAutospacing="1" w:after="100" w:afterAutospacing="1"/>
    </w:pPr>
  </w:style>
  <w:style w:type="character" w:customStyle="1" w:styleId="29">
    <w:name w:val="Heading 2 Char"/>
    <w:basedOn w:val="19"/>
    <w:link w:val="3"/>
    <w:autoRedefine/>
    <w:qFormat/>
    <w:uiPriority w:val="9"/>
    <w:rPr>
      <w:rFonts w:ascii="Cambria" w:hAnsi="Cambria" w:eastAsia="宋体" w:cs="Times New Roman"/>
      <w:b/>
      <w:bCs/>
      <w:sz w:val="32"/>
      <w:szCs w:val="32"/>
    </w:rPr>
  </w:style>
  <w:style w:type="character" w:customStyle="1" w:styleId="30">
    <w:name w:val="Heading 3 Char"/>
    <w:basedOn w:val="19"/>
    <w:link w:val="4"/>
    <w:autoRedefine/>
    <w:qFormat/>
    <w:uiPriority w:val="9"/>
    <w:rPr>
      <w:b/>
      <w:bCs/>
      <w:sz w:val="32"/>
      <w:szCs w:val="32"/>
    </w:rPr>
  </w:style>
  <w:style w:type="character" w:customStyle="1" w:styleId="31">
    <w:name w:val="Heading 4 Char"/>
    <w:basedOn w:val="19"/>
    <w:link w:val="5"/>
    <w:autoRedefine/>
    <w:qFormat/>
    <w:uiPriority w:val="9"/>
    <w:rPr>
      <w:rFonts w:asciiTheme="majorHAnsi" w:hAnsiTheme="majorHAnsi" w:eastAsiaTheme="majorEastAsia" w:cstheme="majorBidi"/>
      <w:b/>
      <w:bCs/>
      <w:kern w:val="0"/>
      <w:sz w:val="28"/>
      <w:szCs w:val="28"/>
    </w:rPr>
  </w:style>
  <w:style w:type="character" w:customStyle="1" w:styleId="32">
    <w:name w:val="Comment Text Char"/>
    <w:basedOn w:val="19"/>
    <w:link w:val="7"/>
    <w:autoRedefine/>
    <w:semiHidden/>
    <w:qFormat/>
    <w:uiPriority w:val="99"/>
    <w:rPr>
      <w:rFonts w:ascii="宋体" w:hAnsi="宋体" w:eastAsia="宋体" w:cs="宋体"/>
      <w:kern w:val="0"/>
      <w:sz w:val="24"/>
      <w:szCs w:val="24"/>
    </w:rPr>
  </w:style>
  <w:style w:type="character" w:customStyle="1" w:styleId="33">
    <w:name w:val="Heading 5 Char"/>
    <w:basedOn w:val="19"/>
    <w:link w:val="6"/>
    <w:autoRedefine/>
    <w:qFormat/>
    <w:uiPriority w:val="9"/>
    <w:rPr>
      <w:rFonts w:ascii="宋体" w:hAnsi="宋体" w:eastAsia="宋体" w:cs="宋体"/>
      <w:b/>
      <w:bCs/>
      <w:kern w:val="0"/>
      <w:sz w:val="28"/>
      <w:szCs w:val="28"/>
    </w:rPr>
  </w:style>
  <w:style w:type="character" w:customStyle="1" w:styleId="34">
    <w:name w:val="Endnote Text Char"/>
    <w:basedOn w:val="19"/>
    <w:link w:val="11"/>
    <w:autoRedefine/>
    <w:semiHidden/>
    <w:qFormat/>
    <w:uiPriority w:val="99"/>
    <w:rPr>
      <w:rFonts w:ascii="宋体" w:hAnsi="宋体" w:eastAsia="宋体" w:cs="宋体"/>
      <w:sz w:val="24"/>
      <w:szCs w:val="24"/>
    </w:rPr>
  </w:style>
  <w:style w:type="character" w:customStyle="1" w:styleId="35">
    <w:name w:val="Header Char"/>
    <w:basedOn w:val="19"/>
    <w:link w:val="13"/>
    <w:autoRedefine/>
    <w:qFormat/>
    <w:uiPriority w:val="99"/>
    <w:rPr>
      <w:rFonts w:ascii="宋体" w:hAnsi="宋体" w:eastAsia="宋体" w:cs="宋体"/>
      <w:sz w:val="18"/>
      <w:szCs w:val="18"/>
    </w:rPr>
  </w:style>
  <w:style w:type="character" w:customStyle="1" w:styleId="36">
    <w:name w:val="Footer Char"/>
    <w:basedOn w:val="19"/>
    <w:link w:val="12"/>
    <w:autoRedefine/>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91CC0-27C0-4B2A-B3BB-5F894911B92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2023</Words>
  <Characters>11537</Characters>
  <Lines>96</Lines>
  <Paragraphs>27</Paragraphs>
  <TotalTime>3</TotalTime>
  <ScaleCrop>false</ScaleCrop>
  <LinksUpToDate>false</LinksUpToDate>
  <CharactersWithSpaces>13533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2023-03-04T03:05:00Z</dcterms:created>
  <dc:creator>Lifan Zheng</dc:creator>
  <cp:lastModifiedBy>唐小霸</cp:lastModifiedBy>
  <dcterms:modified xsi:type="dcterms:W3CDTF">2024-03-08T02:54:13Z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2611A1F1DCA24A15A034B1F9C6986BB5_13</vt:lpwstr>
  </property>
</Properties>
</file>