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Times New Roman" w:hAnsi="Times New Roman" w:eastAsia="华文中宋"/>
          <w:color w:val="000000"/>
          <w:sz w:val="72"/>
          <w:szCs w:val="72"/>
        </w:rPr>
      </w:pPr>
      <w:bookmarkStart w:id="0" w:name="_Hlk159700252"/>
      <w:bookmarkEnd w:id="0"/>
    </w:p>
    <w:p>
      <w:pPr>
        <w:spacing w:line="747" w:lineRule="exact"/>
        <w:ind w:left="601" w:right="231"/>
        <w:jc w:val="center"/>
        <w:rPr>
          <w:rFonts w:ascii="Times New Roman" w:hAnsi="Times New Roman" w:eastAsia="黑体" w:cs="微软雅黑"/>
          <w:sz w:val="40"/>
          <w:szCs w:val="22"/>
        </w:rPr>
      </w:pPr>
      <w:bookmarkStart w:id="1" w:name="_Hlk154736294"/>
      <w:bookmarkEnd w:id="1"/>
      <w:r>
        <w:rPr>
          <w:rFonts w:hint="eastAsia" w:ascii="Times New Roman" w:hAnsi="Times New Roman"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Times New Roman" w:hAnsi="Times New Roman" w:eastAsia="微软雅黑" w:cs="微软雅黑"/>
          <w:sz w:val="36"/>
          <w:szCs w:val="22"/>
        </w:rPr>
      </w:pPr>
    </w:p>
    <w:p>
      <w:pPr>
        <w:ind w:left="595" w:right="231"/>
        <w:jc w:val="center"/>
        <w:rPr>
          <w:rFonts w:ascii="Times New Roman" w:hAnsi="Times New Roman"/>
        </w:rPr>
      </w:pPr>
      <w:r>
        <w:rPr>
          <w:rFonts w:hint="eastAsia" w:ascii="Times New Roman" w:hAnsi="Times New Roman" w:eastAsia="微软雅黑" w:cs="微软雅黑"/>
          <w:sz w:val="36"/>
          <w:szCs w:val="22"/>
        </w:rPr>
        <w:t>工商管理专业</w:t>
      </w:r>
    </w:p>
    <w:p>
      <w:pPr>
        <w:spacing w:line="747" w:lineRule="exact"/>
        <w:ind w:left="601" w:right="231"/>
        <w:jc w:val="center"/>
        <w:rPr>
          <w:rFonts w:ascii="Times New Roman" w:hAnsi="Times New Roman" w:eastAsia="黑体" w:cs="微软雅黑"/>
          <w:sz w:val="40"/>
          <w:szCs w:val="22"/>
        </w:rPr>
      </w:pPr>
      <w:r>
        <w:rPr>
          <w:rFonts w:hint="eastAsia" w:ascii="Times New Roman" w:hAnsi="Times New Roman" w:eastAsia="黑体" w:cs="微软雅黑"/>
          <w:sz w:val="40"/>
          <w:szCs w:val="22"/>
        </w:rPr>
        <w:t>2</w:t>
      </w:r>
      <w:r>
        <w:rPr>
          <w:rFonts w:ascii="Times New Roman" w:hAnsi="Times New Roman" w:eastAsia="黑体" w:cs="微软雅黑"/>
          <w:sz w:val="40"/>
          <w:szCs w:val="22"/>
        </w:rPr>
        <w:t>022-2023</w:t>
      </w:r>
      <w:r>
        <w:rPr>
          <w:rFonts w:hint="eastAsia" w:ascii="Times New Roman" w:hAnsi="Times New Roman" w:eastAsia="黑体" w:cs="微软雅黑"/>
          <w:sz w:val="40"/>
          <w:szCs w:val="22"/>
        </w:rPr>
        <w:t>学年本科教学质量报告</w:t>
      </w:r>
    </w:p>
    <w:p>
      <w:pPr>
        <w:spacing w:line="747" w:lineRule="exact"/>
        <w:ind w:left="601" w:right="231"/>
        <w:jc w:val="center"/>
        <w:rPr>
          <w:rFonts w:ascii="Times New Roman" w:hAnsi="Times New Roman" w:eastAsia="黑体"/>
          <w:sz w:val="20"/>
          <w:szCs w:val="20"/>
        </w:rPr>
      </w:pPr>
    </w:p>
    <w:p>
      <w:pPr>
        <w:ind w:left="601" w:right="232"/>
        <w:jc w:val="center"/>
        <w:rPr>
          <w:rFonts w:ascii="Times New Roman" w:hAnsi="Times New Roman"/>
        </w:rPr>
      </w:pPr>
      <w:r>
        <w:rPr>
          <w:rFonts w:hint="eastAsia" w:ascii="Times New Roman" w:hAnsi="Times New Roman"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3"/>
        <w:spacing w:before="98" w:beforeAutospacing="0" w:after="0" w:afterAutospacing="0"/>
        <w:ind w:left="597" w:right="231"/>
        <w:jc w:val="center"/>
        <w:rPr>
          <w:rFonts w:ascii="Times New Roman" w:hAnsi="Times New Roman"/>
        </w:rPr>
      </w:pPr>
    </w:p>
    <w:tbl>
      <w:tblPr>
        <w:tblStyle w:val="16"/>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Times New Roman" w:hAnsi="Times New Roman" w:eastAsia="微软雅黑"/>
                <w:color w:val="333333"/>
                <w:sz w:val="15"/>
                <w:szCs w:val="15"/>
              </w:rPr>
            </w:pPr>
            <w:r>
              <w:rPr>
                <w:rFonts w:hint="eastAsia" w:ascii="Times New Roman" w:hAnsi="Times New Roman" w:eastAsia="楷体"/>
                <w:color w:val="000000"/>
                <w:sz w:val="30"/>
                <w:szCs w:val="30"/>
              </w:rPr>
              <w:t>专业代码：</w:t>
            </w:r>
            <w:r>
              <w:rPr>
                <w:rFonts w:hint="eastAsia" w:ascii="Times New Roman" w:hAnsi="Times New Roman"/>
                <w:i/>
                <w:iCs/>
                <w:color w:val="000000"/>
                <w:sz w:val="30"/>
                <w:szCs w:val="30"/>
                <w:u w:val="single"/>
              </w:rPr>
              <w:t xml:space="preserve"> </w:t>
            </w:r>
            <w:r>
              <w:rPr>
                <w:rFonts w:ascii="Times New Roman" w:hAnsi="Times New Roman"/>
                <w:color w:val="000000"/>
                <w:sz w:val="30"/>
                <w:szCs w:val="30"/>
                <w:u w:val="single"/>
              </w:rPr>
              <w:t xml:space="preserve">120201K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olor w:val="333333"/>
                <w:sz w:val="15"/>
                <w:szCs w:val="15"/>
              </w:rPr>
            </w:pPr>
            <w:r>
              <w:rPr>
                <w:rFonts w:hint="eastAsia" w:ascii="Times New Roman" w:hAnsi="Times New Roman" w:eastAsia="楷体"/>
                <w:color w:val="000000"/>
                <w:sz w:val="30"/>
                <w:szCs w:val="30"/>
              </w:rPr>
              <w:t>专业负责人：</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 </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胡  斌 </w:t>
            </w:r>
            <w:r>
              <w:rPr>
                <w:rFonts w:hint="eastAsia" w:ascii="Times New Roman" w:hAnsi="Times New Roman" w:eastAsia="微软雅黑"/>
                <w:color w:val="000000"/>
                <w:sz w:val="30"/>
                <w:szCs w:val="30"/>
                <w:u w:val="single"/>
              </w:rPr>
              <w:t>（签字）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olor w:val="333333"/>
                <w:sz w:val="15"/>
                <w:szCs w:val="15"/>
              </w:rPr>
            </w:pPr>
            <w:r>
              <w:rPr>
                <w:rFonts w:hint="eastAsia" w:ascii="Times New Roman" w:hAnsi="Times New Roman" w:eastAsia="楷体"/>
                <w:color w:val="000000"/>
                <w:sz w:val="30"/>
                <w:szCs w:val="30"/>
              </w:rPr>
              <w:t>教学院长：</w:t>
            </w:r>
            <w:r>
              <w:rPr>
                <w:rFonts w:hint="eastAsia" w:ascii="Times New Roman" w:hAnsi="Times New Roman" w:eastAsia="楷体"/>
                <w:color w:val="000000"/>
                <w:sz w:val="30"/>
                <w:szCs w:val="30"/>
                <w:lang w:val="en-US" w:eastAsia="zh-CN"/>
              </w:rPr>
              <w:t xml:space="preserve">  </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   </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罗  娟</w:t>
            </w:r>
            <w:r>
              <w:rPr>
                <w:rFonts w:hint="eastAsia" w:ascii="Times New Roman" w:hAnsi="Times New Roman" w:eastAsia="微软雅黑"/>
                <w:color w:val="000000"/>
                <w:sz w:val="30"/>
                <w:szCs w:val="30"/>
                <w:u w:val="single"/>
              </w:rPr>
              <w:t>（签字）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olor w:val="333333"/>
                <w:sz w:val="15"/>
                <w:szCs w:val="15"/>
              </w:rPr>
            </w:pPr>
            <w:r>
              <w:rPr>
                <w:rFonts w:hint="eastAsia" w:ascii="Times New Roman" w:hAnsi="Times New Roman" w:eastAsia="楷体"/>
                <w:color w:val="000000"/>
                <w:sz w:val="30"/>
                <w:szCs w:val="30"/>
              </w:rPr>
              <w:t>学院院长：</w:t>
            </w:r>
            <w:r>
              <w:rPr>
                <w:rFonts w:hint="eastAsia" w:ascii="Times New Roman" w:hAnsi="Times New Roman" w:eastAsia="微软雅黑"/>
                <w:color w:val="000000"/>
                <w:sz w:val="30"/>
                <w:szCs w:val="30"/>
                <w:u w:val="single"/>
              </w:rPr>
              <w:t xml:space="preserve">             </w:t>
            </w:r>
            <w:r>
              <w:rPr>
                <w:rFonts w:hint="eastAsia" w:ascii="Times New Roman" w:hAnsi="Times New Roman" w:eastAsia="微软雅黑"/>
                <w:color w:val="000000"/>
                <w:sz w:val="30"/>
                <w:szCs w:val="30"/>
                <w:u w:val="single"/>
                <w:lang w:val="en-US" w:eastAsia="zh-CN"/>
              </w:rPr>
              <w:t>胡  斌</w:t>
            </w:r>
            <w:r>
              <w:rPr>
                <w:rFonts w:hint="eastAsia" w:ascii="Times New Roman" w:hAnsi="Times New Roman" w:eastAsia="微软雅黑"/>
                <w:color w:val="000000"/>
                <w:sz w:val="30"/>
                <w:szCs w:val="30"/>
                <w:u w:val="single"/>
              </w:rPr>
              <w:t>（签字）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olor w:val="333333"/>
                <w:sz w:val="15"/>
                <w:szCs w:val="15"/>
              </w:rPr>
            </w:pPr>
            <w:r>
              <w:rPr>
                <w:rFonts w:hint="eastAsia" w:ascii="Times New Roman" w:hAnsi="Times New Roman" w:eastAsia="楷体"/>
                <w:color w:val="000000"/>
                <w:sz w:val="30"/>
                <w:szCs w:val="30"/>
              </w:rPr>
              <w:t>学院名称：</w:t>
            </w:r>
            <w:r>
              <w:rPr>
                <w:rFonts w:hint="eastAsia" w:ascii="Times New Roman" w:hAnsi="Times New Roman" w:eastAsia="微软雅黑"/>
                <w:color w:val="000000"/>
                <w:sz w:val="30"/>
                <w:szCs w:val="30"/>
                <w:u w:val="single"/>
              </w:rPr>
              <w:t>        </w:t>
            </w:r>
            <w:r>
              <w:rPr>
                <w:rFonts w:hint="eastAsia" w:ascii="Times New Roman" w:hAnsi="Times New Roman" w:eastAsia="微软雅黑"/>
                <w:color w:val="000000"/>
                <w:sz w:val="30"/>
                <w:szCs w:val="30"/>
                <w:u w:val="single"/>
                <w:lang w:val="en-US" w:eastAsia="zh-CN"/>
              </w:rPr>
              <w:t xml:space="preserve">管理学院 </w:t>
            </w:r>
            <w:r>
              <w:rPr>
                <w:rFonts w:hint="eastAsia" w:ascii="Times New Roman" w:hAnsi="Times New Roman" w:eastAsia="微软雅黑"/>
                <w:color w:val="000000"/>
                <w:sz w:val="30"/>
                <w:szCs w:val="30"/>
                <w:u w:val="single"/>
              </w:rPr>
              <w:t>（盖章）</w:t>
            </w:r>
          </w:p>
        </w:tc>
      </w:tr>
    </w:tbl>
    <w:p>
      <w:pPr>
        <w:pStyle w:val="23"/>
        <w:spacing w:before="98" w:beforeAutospacing="0" w:after="0" w:afterAutospacing="0"/>
        <w:ind w:left="597" w:right="231"/>
        <w:jc w:val="center"/>
        <w:rPr>
          <w:rFonts w:ascii="Times New Roman" w:hAnsi="Times New Roman"/>
        </w:rPr>
      </w:pPr>
    </w:p>
    <w:p>
      <w:pPr>
        <w:pStyle w:val="23"/>
        <w:spacing w:before="98" w:beforeAutospacing="0" w:after="0" w:afterAutospacing="0"/>
        <w:ind w:left="597" w:right="231"/>
        <w:jc w:val="center"/>
        <w:rPr>
          <w:rFonts w:ascii="Times New Roman" w:hAnsi="Times New Roman"/>
        </w:rPr>
      </w:pPr>
    </w:p>
    <w:p>
      <w:pPr>
        <w:pStyle w:val="23"/>
        <w:spacing w:before="98" w:beforeAutospacing="0" w:after="0" w:afterAutospacing="0"/>
        <w:ind w:left="597" w:right="231"/>
        <w:jc w:val="center"/>
        <w:rPr>
          <w:rFonts w:ascii="Times New Roman" w:hAnsi="Times New Roman"/>
        </w:rPr>
      </w:pPr>
    </w:p>
    <w:p>
      <w:pPr>
        <w:pStyle w:val="23"/>
        <w:spacing w:before="98" w:beforeAutospacing="0" w:after="0" w:afterAutospacing="0"/>
        <w:ind w:left="597" w:right="231"/>
        <w:jc w:val="center"/>
        <w:rPr>
          <w:rFonts w:ascii="Times New Roman" w:hAnsi="Times New Roman"/>
        </w:rPr>
      </w:pPr>
      <w:r>
        <w:rPr>
          <w:rFonts w:ascii="Times New Roman" w:hAnsi="Times New Roman"/>
        </w:rPr>
        <w:t>2024</w:t>
      </w:r>
      <w:r>
        <w:rPr>
          <w:rFonts w:hint="eastAsia" w:ascii="Times New Roman" w:hAnsi="Times New Roman"/>
        </w:rPr>
        <w:t>年</w:t>
      </w:r>
      <w:r>
        <w:rPr>
          <w:rFonts w:hint="eastAsia" w:ascii="Times New Roman" w:hAnsi="Times New Roman"/>
          <w:u w:val="single"/>
          <w:lang w:val="en-US" w:eastAsia="zh-CN"/>
        </w:rPr>
        <w:t xml:space="preserve">  3  </w:t>
      </w:r>
      <w:r>
        <w:rPr>
          <w:rFonts w:hint="eastAsia" w:ascii="Times New Roman" w:hAnsi="Times New Roman"/>
        </w:rPr>
        <w:t>月</w:t>
      </w:r>
    </w:p>
    <w:p>
      <w:pPr>
        <w:rPr>
          <w:rFonts w:ascii="Times New Roman" w:hAnsi="Times New Roman"/>
        </w:rPr>
      </w:pPr>
      <w:r>
        <w:rPr>
          <w:rFonts w:ascii="Times New Roman" w:hAnsi="Times New Roman"/>
        </w:rPr>
        <w:br w:type="page"/>
      </w:r>
    </w:p>
    <w:p>
      <w:pPr>
        <w:jc w:val="center"/>
        <w:rPr>
          <w:rFonts w:ascii="Times New Roman" w:hAnsi="Times New Roman" w:eastAsia="黑体"/>
          <w:sz w:val="32"/>
          <w:szCs w:val="32"/>
        </w:rPr>
      </w:pPr>
      <w:r>
        <w:rPr>
          <w:rFonts w:ascii="Times New Roman" w:hAnsi="Times New Roman"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"_Toc159705208" </w:instrText>
      </w:r>
      <w:r>
        <w:fldChar w:fldCharType="separate"/>
      </w:r>
      <w:r>
        <w:rPr>
          <w:rStyle w:val="20"/>
        </w:rPr>
        <w:t>说</w:t>
      </w:r>
      <w:r>
        <w:rPr>
          <w:rFonts w:asciiTheme="minorHAnsi" w:hAnsiTheme="minorHAnsi" w:eastAsiaTheme="minorEastAsia" w:cstheme="minorBidi"/>
          <w:kern w:val="2"/>
          <w:sz w:val="21"/>
          <w:szCs w:val="22"/>
          <w14:ligatures w14:val="standardContextual"/>
        </w:rPr>
        <w:tab/>
      </w:r>
      <w:r>
        <w:rPr>
          <w:rStyle w:val="20"/>
        </w:rPr>
        <w:t>明</w:t>
      </w:r>
      <w:r>
        <w:tab/>
      </w:r>
      <w:r>
        <w:fldChar w:fldCharType="begin"/>
      </w:r>
      <w:r>
        <w:instrText xml:space="preserve"> PAGEREF _Toc159705208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"_Toc159705209" </w:instrText>
      </w:r>
      <w:r>
        <w:fldChar w:fldCharType="separate"/>
      </w:r>
      <w:r>
        <w:rPr>
          <w:rStyle w:val="20"/>
        </w:rPr>
        <w:t>1.专业概况</w:t>
      </w:r>
      <w:r>
        <w:tab/>
      </w:r>
      <w:r>
        <w:fldChar w:fldCharType="begin"/>
      </w:r>
      <w:r>
        <w:instrText xml:space="preserve"> PAGEREF _Toc159705209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"_Toc159705210" </w:instrText>
      </w:r>
      <w:r>
        <w:fldChar w:fldCharType="separate"/>
      </w:r>
      <w:r>
        <w:rPr>
          <w:rStyle w:val="20"/>
        </w:rPr>
        <w:t>1.1专业设置情况</w:t>
      </w:r>
      <w:r>
        <w:tab/>
      </w:r>
      <w:r>
        <w:fldChar w:fldCharType="begin"/>
      </w:r>
      <w:r>
        <w:instrText xml:space="preserve"> PAGEREF _Toc159705210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"_Toc159705211" </w:instrText>
      </w:r>
      <w:r>
        <w:fldChar w:fldCharType="separate"/>
      </w:r>
      <w:r>
        <w:rPr>
          <w:rStyle w:val="20"/>
        </w:rPr>
        <w:t>1.2人才培养目标</w:t>
      </w:r>
      <w:r>
        <w:tab/>
      </w:r>
      <w:r>
        <w:fldChar w:fldCharType="begin"/>
      </w:r>
      <w:r>
        <w:instrText xml:space="preserve"> PAGEREF _Toc159705211 \h </w:instrText>
      </w:r>
      <w:r>
        <w:fldChar w:fldCharType="separate"/>
      </w:r>
      <w:r>
        <w:t>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"_Toc159705212" </w:instrText>
      </w:r>
      <w:r>
        <w:fldChar w:fldCharType="separate"/>
      </w:r>
      <w:r>
        <w:rPr>
          <w:rStyle w:val="20"/>
        </w:rPr>
        <w:t>2.毕业要求</w:t>
      </w:r>
      <w:r>
        <w:tab/>
      </w:r>
      <w:r>
        <w:fldChar w:fldCharType="begin"/>
      </w:r>
      <w:r>
        <w:instrText xml:space="preserve"> PAGEREF _Toc159705212 \h </w:instrText>
      </w:r>
      <w:r>
        <w:fldChar w:fldCharType="separate"/>
      </w:r>
      <w:r>
        <w:t>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"_Toc159705213" </w:instrText>
      </w:r>
      <w:r>
        <w:fldChar w:fldCharType="separate"/>
      </w:r>
      <w:r>
        <w:rPr>
          <w:rStyle w:val="20"/>
        </w:rPr>
        <w:t>3.培养情况</w:t>
      </w:r>
      <w:r>
        <w:tab/>
      </w:r>
      <w:r>
        <w:fldChar w:fldCharType="begin"/>
      </w:r>
      <w:r>
        <w:instrText xml:space="preserve"> PAGEREF _Toc159705213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"_Toc159705214" </w:instrText>
      </w:r>
      <w:r>
        <w:fldChar w:fldCharType="separate"/>
      </w:r>
      <w:r>
        <w:rPr>
          <w:rStyle w:val="20"/>
        </w:rPr>
        <w:t>3.1专业建设情况</w:t>
      </w:r>
      <w:r>
        <w:tab/>
      </w:r>
      <w:r>
        <w:fldChar w:fldCharType="begin"/>
      </w:r>
      <w:r>
        <w:instrText xml:space="preserve"> PAGEREF _Toc159705214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"_Toc159705215" </w:instrText>
      </w:r>
      <w:r>
        <w:fldChar w:fldCharType="separate"/>
      </w:r>
      <w:r>
        <w:rPr>
          <w:rStyle w:val="20"/>
        </w:rPr>
        <w:t>3.2专业教学计划</w:t>
      </w:r>
      <w:r>
        <w:tab/>
      </w:r>
      <w:r>
        <w:fldChar w:fldCharType="begin"/>
      </w:r>
      <w:r>
        <w:instrText xml:space="preserve"> PAGEREF _Toc159705215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"_Toc159705216" </w:instrText>
      </w:r>
      <w:r>
        <w:fldChar w:fldCharType="separate"/>
      </w:r>
      <w:r>
        <w:rPr>
          <w:rStyle w:val="20"/>
        </w:rPr>
        <w:t>3.3专业课开设情况</w:t>
      </w:r>
      <w:r>
        <w:tab/>
      </w:r>
      <w:r>
        <w:fldChar w:fldCharType="begin"/>
      </w:r>
      <w:r>
        <w:instrText xml:space="preserve"> PAGEREF _Toc159705216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"_Toc159705217" </w:instrText>
      </w:r>
      <w:r>
        <w:fldChar w:fldCharType="separate"/>
      </w:r>
      <w:r>
        <w:rPr>
          <w:rStyle w:val="20"/>
        </w:rPr>
        <w:t>3.4专业课课堂规模</w:t>
      </w:r>
      <w:r>
        <w:tab/>
      </w:r>
      <w:r>
        <w:fldChar w:fldCharType="begin"/>
      </w:r>
      <w:r>
        <w:instrText xml:space="preserve"> PAGEREF _Toc159705217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"_Toc159705218" </w:instrText>
      </w:r>
      <w:r>
        <w:fldChar w:fldCharType="separate"/>
      </w:r>
      <w:r>
        <w:rPr>
          <w:rStyle w:val="20"/>
        </w:rPr>
        <w:t>3.5专业的核心课程情况</w:t>
      </w:r>
      <w:r>
        <w:tab/>
      </w:r>
      <w:r>
        <w:fldChar w:fldCharType="begin"/>
      </w:r>
      <w:r>
        <w:instrText xml:space="preserve"> PAGEREF _Toc159705218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"_Toc159705219" </w:instrText>
      </w:r>
      <w:r>
        <w:fldChar w:fldCharType="separate"/>
      </w:r>
      <w:r>
        <w:rPr>
          <w:rStyle w:val="20"/>
        </w:rPr>
        <w:t>3.6实验教学情况</w:t>
      </w:r>
      <w:r>
        <w:tab/>
      </w:r>
      <w:r>
        <w:fldChar w:fldCharType="begin"/>
      </w:r>
      <w:r>
        <w:instrText xml:space="preserve"> PAGEREF _Toc159705219 \h </w:instrText>
      </w:r>
      <w:r>
        <w:fldChar w:fldCharType="separate"/>
      </w:r>
      <w:r>
        <w:t>13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"_Toc159705220" </w:instrText>
      </w:r>
      <w:r>
        <w:fldChar w:fldCharType="separate"/>
      </w:r>
      <w:r>
        <w:rPr>
          <w:rStyle w:val="20"/>
        </w:rPr>
        <w:t>3.7实践教学情况</w:t>
      </w:r>
      <w:r>
        <w:tab/>
      </w:r>
      <w:r>
        <w:fldChar w:fldCharType="begin"/>
      </w:r>
      <w:r>
        <w:instrText xml:space="preserve"> PAGEREF _Toc159705220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"_Toc159705221" </w:instrText>
      </w:r>
      <w:r>
        <w:fldChar w:fldCharType="separate"/>
      </w:r>
      <w:r>
        <w:rPr>
          <w:rStyle w:val="20"/>
        </w:rPr>
        <w:t>3.8创新创业教育</w:t>
      </w:r>
      <w:r>
        <w:tab/>
      </w:r>
      <w:r>
        <w:fldChar w:fldCharType="begin"/>
      </w:r>
      <w:r>
        <w:instrText xml:space="preserve"> PAGEREF _Toc159705221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"_Toc159705222" </w:instrText>
      </w:r>
      <w:r>
        <w:fldChar w:fldCharType="separate"/>
      </w:r>
      <w:r>
        <w:rPr>
          <w:rStyle w:val="20"/>
        </w:rPr>
        <w:t>3.9学生毕业综合训练情况</w:t>
      </w:r>
      <w:r>
        <w:tab/>
      </w:r>
      <w:r>
        <w:fldChar w:fldCharType="begin"/>
      </w:r>
      <w:r>
        <w:instrText xml:space="preserve"> PAGEREF _Toc159705222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"_Toc159705223" </w:instrText>
      </w:r>
      <w:r>
        <w:fldChar w:fldCharType="separate"/>
      </w:r>
      <w:r>
        <w:rPr>
          <w:rStyle w:val="20"/>
        </w:rPr>
        <w:t>3.10教学改革</w:t>
      </w:r>
      <w:r>
        <w:tab/>
      </w:r>
      <w:r>
        <w:fldChar w:fldCharType="begin"/>
      </w:r>
      <w:r>
        <w:instrText xml:space="preserve"> PAGEREF _Toc159705223 \h </w:instrText>
      </w:r>
      <w:r>
        <w:fldChar w:fldCharType="separate"/>
      </w:r>
      <w:r>
        <w:t>16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"_Toc159705224" </w:instrText>
      </w:r>
      <w:r>
        <w:fldChar w:fldCharType="separate"/>
      </w:r>
      <w:r>
        <w:rPr>
          <w:rStyle w:val="20"/>
        </w:rPr>
        <w:t>4.教师队伍</w:t>
      </w:r>
      <w:r>
        <w:tab/>
      </w:r>
      <w:r>
        <w:fldChar w:fldCharType="begin"/>
      </w:r>
      <w:r>
        <w:instrText xml:space="preserve"> PAGEREF _Toc159705224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"_Toc159705225" </w:instrText>
      </w:r>
      <w:r>
        <w:fldChar w:fldCharType="separate"/>
      </w:r>
      <w:r>
        <w:rPr>
          <w:rStyle w:val="20"/>
        </w:rPr>
        <w:t>4.1专业教师数量与结构</w:t>
      </w:r>
      <w:r>
        <w:tab/>
      </w:r>
      <w:r>
        <w:fldChar w:fldCharType="begin"/>
      </w:r>
      <w:r>
        <w:instrText xml:space="preserve"> PAGEREF _Toc159705225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"_Toc159705226" </w:instrText>
      </w:r>
      <w:r>
        <w:fldChar w:fldCharType="separate"/>
      </w:r>
      <w:r>
        <w:rPr>
          <w:rStyle w:val="20"/>
        </w:rPr>
        <w:t>4.2授课师资分析</w:t>
      </w:r>
      <w:r>
        <w:tab/>
      </w:r>
      <w:r>
        <w:fldChar w:fldCharType="begin"/>
      </w:r>
      <w:r>
        <w:instrText xml:space="preserve"> PAGEREF _Toc159705226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"_Toc159705227" </w:instrText>
      </w:r>
      <w:r>
        <w:fldChar w:fldCharType="separate"/>
      </w:r>
      <w:r>
        <w:rPr>
          <w:rStyle w:val="20"/>
        </w:rPr>
        <w:t>4.3教师教学科研情况</w:t>
      </w:r>
      <w:r>
        <w:tab/>
      </w:r>
      <w:r>
        <w:fldChar w:fldCharType="begin"/>
      </w:r>
      <w:r>
        <w:instrText xml:space="preserve"> PAGEREF _Toc159705227 \h </w:instrText>
      </w:r>
      <w:r>
        <w:fldChar w:fldCharType="separate"/>
      </w:r>
      <w:r>
        <w:t>22</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"_Toc159705228" </w:instrText>
      </w:r>
      <w:r>
        <w:fldChar w:fldCharType="separate"/>
      </w:r>
      <w:r>
        <w:rPr>
          <w:rStyle w:val="20"/>
        </w:rPr>
        <w:t>5.支持条件</w:t>
      </w:r>
      <w:r>
        <w:tab/>
      </w:r>
      <w:r>
        <w:fldChar w:fldCharType="begin"/>
      </w:r>
      <w:r>
        <w:instrText xml:space="preserve"> PAGEREF _Toc159705228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"_Toc159705229" </w:instrText>
      </w:r>
      <w:r>
        <w:fldChar w:fldCharType="separate"/>
      </w:r>
      <w:r>
        <w:rPr>
          <w:rStyle w:val="20"/>
        </w:rPr>
        <w:t>5.1学校生均教学经费情况</w:t>
      </w:r>
      <w:r>
        <w:tab/>
      </w:r>
      <w:r>
        <w:fldChar w:fldCharType="begin"/>
      </w:r>
      <w:r>
        <w:instrText xml:space="preserve"> PAGEREF _Toc159705229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"_Toc159705230" </w:instrText>
      </w:r>
      <w:r>
        <w:fldChar w:fldCharType="separate"/>
      </w:r>
      <w:r>
        <w:rPr>
          <w:rStyle w:val="20"/>
        </w:rPr>
        <w:t>5.2支撑专业实验教学校内场所情况</w:t>
      </w:r>
      <w:r>
        <w:tab/>
      </w:r>
      <w:r>
        <w:fldChar w:fldCharType="begin"/>
      </w:r>
      <w:r>
        <w:instrText xml:space="preserve"> PAGEREF _Toc159705230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"_Toc159705231" </w:instrText>
      </w:r>
      <w:r>
        <w:fldChar w:fldCharType="separate"/>
      </w:r>
      <w:r>
        <w:rPr>
          <w:rStyle w:val="20"/>
        </w:rPr>
        <w:t>5.3校外本科教学实习实训基地情况</w:t>
      </w:r>
      <w:r>
        <w:tab/>
      </w:r>
      <w:r>
        <w:fldChar w:fldCharType="begin"/>
      </w:r>
      <w:r>
        <w:instrText xml:space="preserve"> PAGEREF _Toc159705231 \h </w:instrText>
      </w:r>
      <w:r>
        <w:fldChar w:fldCharType="separate"/>
      </w:r>
      <w:r>
        <w:t>23</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"_Toc159705232" </w:instrText>
      </w:r>
      <w:r>
        <w:fldChar w:fldCharType="separate"/>
      </w:r>
      <w:r>
        <w:rPr>
          <w:rStyle w:val="20"/>
        </w:rPr>
        <w:t>6.质量保障</w:t>
      </w:r>
      <w:r>
        <w:tab/>
      </w:r>
      <w:r>
        <w:fldChar w:fldCharType="begin"/>
      </w:r>
      <w:r>
        <w:instrText xml:space="preserve"> PAGEREF _Toc159705232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"_Toc159705233" </w:instrText>
      </w:r>
      <w:r>
        <w:fldChar w:fldCharType="separate"/>
      </w:r>
      <w:r>
        <w:rPr>
          <w:rStyle w:val="20"/>
        </w:rPr>
        <w:t>6.1质量保障体系</w:t>
      </w:r>
      <w:r>
        <w:tab/>
      </w:r>
      <w:r>
        <w:fldChar w:fldCharType="begin"/>
      </w:r>
      <w:r>
        <w:instrText xml:space="preserve"> PAGEREF _Toc159705233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"_Toc159705234" </w:instrText>
      </w:r>
      <w:r>
        <w:fldChar w:fldCharType="separate"/>
      </w:r>
      <w:r>
        <w:rPr>
          <w:rStyle w:val="20"/>
        </w:rPr>
        <w:t>6.2质量监控制度及实施办法</w:t>
      </w:r>
      <w:r>
        <w:tab/>
      </w:r>
      <w:r>
        <w:fldChar w:fldCharType="begin"/>
      </w:r>
      <w:r>
        <w:instrText xml:space="preserve"> PAGEREF _Toc159705234 \h </w:instrText>
      </w:r>
      <w:r>
        <w:fldChar w:fldCharType="separate"/>
      </w:r>
      <w:r>
        <w:t>26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"_Toc159705235" </w:instrText>
      </w:r>
      <w:r>
        <w:fldChar w:fldCharType="separate"/>
      </w:r>
      <w:r>
        <w:rPr>
          <w:rStyle w:val="20"/>
        </w:rPr>
        <w:t>6.3质量评估反馈及持续改进</w:t>
      </w:r>
      <w:r>
        <w:tab/>
      </w:r>
      <w:r>
        <w:fldChar w:fldCharType="begin"/>
      </w:r>
      <w:r>
        <w:instrText xml:space="preserve"> PAGEREF _Toc159705235 \h </w:instrText>
      </w:r>
      <w:r>
        <w:fldChar w:fldCharType="separate"/>
      </w:r>
      <w:r>
        <w:t>26</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"_Toc159705236" </w:instrText>
      </w:r>
      <w:r>
        <w:fldChar w:fldCharType="separate"/>
      </w:r>
      <w:r>
        <w:rPr>
          <w:rStyle w:val="20"/>
        </w:rPr>
        <w:t>6.4在校生与毕业生满意度</w:t>
      </w:r>
      <w:r>
        <w:tab/>
      </w:r>
      <w:r>
        <w:fldChar w:fldCharType="begin"/>
      </w:r>
      <w:r>
        <w:instrText xml:space="preserve"> PAGEREF _Toc159705236 \h </w:instrText>
      </w:r>
      <w:r>
        <w:fldChar w:fldCharType="separate"/>
      </w:r>
      <w:r>
        <w:t>27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"_Toc159705237" </w:instrText>
      </w:r>
      <w:r>
        <w:fldChar w:fldCharType="separate"/>
      </w:r>
      <w:r>
        <w:rPr>
          <w:rStyle w:val="20"/>
        </w:rPr>
        <w:t>7.学生发展</w:t>
      </w:r>
      <w:r>
        <w:tab/>
      </w:r>
      <w:r>
        <w:fldChar w:fldCharType="begin"/>
      </w:r>
      <w:r>
        <w:instrText xml:space="preserve"> PAGEREF _Toc159705237 \h </w:instrText>
      </w:r>
      <w:r>
        <w:fldChar w:fldCharType="separate"/>
      </w:r>
      <w:r>
        <w:t>29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"_Toc159705238" </w:instrText>
      </w:r>
      <w:r>
        <w:fldChar w:fldCharType="separate"/>
      </w:r>
      <w:r>
        <w:rPr>
          <w:rStyle w:val="20"/>
        </w:rPr>
        <w:t>7.1本科在校生数量基本情况</w:t>
      </w:r>
      <w:r>
        <w:tab/>
      </w:r>
      <w:r>
        <w:fldChar w:fldCharType="begin"/>
      </w:r>
      <w:r>
        <w:instrText xml:space="preserve"> PAGEREF _Toc159705238 \h </w:instrText>
      </w:r>
      <w:r>
        <w:fldChar w:fldCharType="separate"/>
      </w:r>
      <w:r>
        <w:t>29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"_Toc159705239" </w:instrText>
      </w:r>
      <w:r>
        <w:fldChar w:fldCharType="separate"/>
      </w:r>
      <w:r>
        <w:rPr>
          <w:rStyle w:val="20"/>
        </w:rPr>
        <w:t>7.2专业招生录取率和新生报到率</w:t>
      </w:r>
      <w:r>
        <w:tab/>
      </w:r>
      <w:r>
        <w:fldChar w:fldCharType="begin"/>
      </w:r>
      <w:r>
        <w:instrText xml:space="preserve"> PAGEREF _Toc159705239 \h </w:instrText>
      </w:r>
      <w:r>
        <w:fldChar w:fldCharType="separate"/>
      </w:r>
      <w:r>
        <w:t>29</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"_Toc159705240" </w:instrText>
      </w:r>
      <w:r>
        <w:fldChar w:fldCharType="separate"/>
      </w:r>
      <w:r>
        <w:rPr>
          <w:rStyle w:val="20"/>
        </w:rPr>
        <w:t>7.3毕业生毕业率、学位授予率与去向落实率</w:t>
      </w:r>
      <w:r>
        <w:tab/>
      </w:r>
      <w:r>
        <w:fldChar w:fldCharType="begin"/>
      </w:r>
      <w:r>
        <w:instrText xml:space="preserve"> PAGEREF _Toc159705240 \h </w:instrText>
      </w:r>
      <w:r>
        <w:fldChar w:fldCharType="separate"/>
      </w:r>
      <w:r>
        <w:t>30</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"_Toc159705241" </w:instrText>
      </w:r>
      <w:r>
        <w:fldChar w:fldCharType="separate"/>
      </w:r>
      <w:r>
        <w:rPr>
          <w:rStyle w:val="20"/>
        </w:rPr>
        <w:t>7.4学风建设情况</w:t>
      </w:r>
      <w:r>
        <w:tab/>
      </w:r>
      <w:r>
        <w:fldChar w:fldCharType="begin"/>
      </w:r>
      <w:r>
        <w:instrText xml:space="preserve"> PAGEREF _Toc159705241 \h </w:instrText>
      </w:r>
      <w:r>
        <w:fldChar w:fldCharType="separate"/>
      </w:r>
      <w:r>
        <w:t>30</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"_Toc159705242" </w:instrText>
      </w:r>
      <w:r>
        <w:fldChar w:fldCharType="separate"/>
      </w:r>
      <w:r>
        <w:rPr>
          <w:rStyle w:val="20"/>
        </w:rPr>
        <w:t>8.特色发展与案例</w:t>
      </w:r>
      <w:r>
        <w:tab/>
      </w:r>
      <w:r>
        <w:fldChar w:fldCharType="begin"/>
      </w:r>
      <w:r>
        <w:instrText xml:space="preserve"> PAGEREF _Toc159705242 \h </w:instrText>
      </w:r>
      <w:r>
        <w:fldChar w:fldCharType="separate"/>
      </w:r>
      <w:r>
        <w:t>31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14:ligatures w14:val="standardContextual"/>
        </w:rPr>
      </w:pPr>
      <w:r>
        <w:fldChar w:fldCharType="begin"/>
      </w:r>
      <w:r>
        <w:instrText xml:space="preserve"> HYPERLINK \l "_Toc159705243" </w:instrText>
      </w:r>
      <w:r>
        <w:fldChar w:fldCharType="separate"/>
      </w:r>
      <w:r>
        <w:rPr>
          <w:rStyle w:val="20"/>
        </w:rPr>
        <w:t>9.问题与对策</w:t>
      </w:r>
      <w:r>
        <w:tab/>
      </w:r>
      <w:r>
        <w:fldChar w:fldCharType="begin"/>
      </w:r>
      <w:r>
        <w:instrText xml:space="preserve"> PAGEREF _Toc159705243 \h </w:instrText>
      </w:r>
      <w:r>
        <w:fldChar w:fldCharType="separate"/>
      </w:r>
      <w:r>
        <w:t>33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"_Toc159705244" </w:instrText>
      </w:r>
      <w:r>
        <w:fldChar w:fldCharType="separate"/>
      </w:r>
      <w:r>
        <w:rPr>
          <w:rStyle w:val="20"/>
        </w:rPr>
        <w:t>9.1存在的问题</w:t>
      </w:r>
      <w:r>
        <w:tab/>
      </w:r>
      <w:r>
        <w:fldChar w:fldCharType="begin"/>
      </w:r>
      <w:r>
        <w:instrText xml:space="preserve"> PAGEREF _Toc159705244 \h </w:instrText>
      </w:r>
      <w:r>
        <w:fldChar w:fldCharType="separate"/>
      </w:r>
      <w:r>
        <w:t>33</w:t>
      </w:r>
      <w:r>
        <w:fldChar w:fldCharType="end"/>
      </w:r>
      <w:r>
        <w:fldChar w:fldCharType="end"/>
      </w:r>
    </w:p>
    <w:p>
      <w:pPr>
        <w:pStyle w:val="9"/>
        <w:rPr>
          <w:rFonts w:asciiTheme="minorHAnsi" w:hAnsiTheme="minorHAnsi" w:eastAsiaTheme="minorEastAsia" w:cstheme="minorBidi"/>
          <w:kern w:val="2"/>
          <w:sz w:val="21"/>
          <w:szCs w:val="22"/>
          <w14:ligatures w14:val="standardContextual"/>
        </w:rPr>
      </w:pPr>
      <w:r>
        <w:fldChar w:fldCharType="begin"/>
      </w:r>
      <w:r>
        <w:instrText xml:space="preserve"> HYPERLINK \l "_Toc159705245" </w:instrText>
      </w:r>
      <w:r>
        <w:fldChar w:fldCharType="separate"/>
      </w:r>
      <w:r>
        <w:rPr>
          <w:rStyle w:val="20"/>
        </w:rPr>
        <w:t>9.2改进的对策</w:t>
      </w:r>
      <w:r>
        <w:tab/>
      </w:r>
      <w:r>
        <w:fldChar w:fldCharType="begin"/>
      </w:r>
      <w:r>
        <w:instrText xml:space="preserve"> PAGEREF _Toc159705245 \h </w:instrText>
      </w:r>
      <w:r>
        <w:fldChar w:fldCharType="separate"/>
      </w:r>
      <w:r>
        <w:t>35</w:t>
      </w:r>
      <w:r>
        <w:fldChar w:fldCharType="end"/>
      </w:r>
      <w:r>
        <w:fldChar w:fldCharType="end"/>
      </w:r>
    </w:p>
    <w:p>
      <w:pPr>
        <w:pStyle w:val="23"/>
        <w:spacing w:before="98" w:beforeAutospacing="0" w:after="0" w:afterAutospacing="0"/>
        <w:ind w:left="597" w:right="231"/>
        <w:jc w:val="center"/>
        <w:rPr>
          <w:rFonts w:ascii="Times New Roman" w:hAnsi="Times New Roman"/>
        </w:rPr>
      </w:pPr>
      <w:r>
        <w:rPr>
          <w:rFonts w:ascii="Times New Roman" w:hAnsi="Times New Roman"/>
        </w:rPr>
        <w:fldChar w:fldCharType="end"/>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2" w:name="_Toc128820648"/>
      <w:bookmarkStart w:id="3" w:name="_Toc159705208"/>
      <w:r>
        <w:rPr>
          <w:rFonts w:hint="eastAsia" w:ascii="Times New Roman" w:hAnsi="Times New Roman"/>
        </w:rPr>
        <w:t>说</w:t>
      </w:r>
      <w:r>
        <w:rPr>
          <w:rFonts w:ascii="Times New Roman" w:hAnsi="Times New Roman"/>
        </w:rPr>
        <w:tab/>
      </w:r>
      <w:r>
        <w:rPr>
          <w:rFonts w:ascii="Times New Roman" w:hAnsi="Times New Roman"/>
        </w:rPr>
        <w:t>明</w:t>
      </w:r>
      <w:bookmarkEnd w:id="2"/>
      <w:bookmarkEnd w:id="3"/>
      <w:r>
        <w:rPr>
          <w:rFonts w:ascii="Times New Roman" w:hAnsi="Times New Roman"/>
        </w:rPr>
        <w:t xml:space="preserve"> </w:t>
      </w:r>
    </w:p>
    <w:p>
      <w:pPr>
        <w:widowControl w:val="0"/>
        <w:ind w:firstLine="420"/>
        <w:rPr>
          <w:rFonts w:ascii="Times New Roman" w:hAnsi="Times New Roman" w:eastAsia="仿宋" w:cstheme="minorBidi"/>
          <w:kern w:val="2"/>
          <w:sz w:val="28"/>
          <w:szCs w:val="28"/>
        </w:rPr>
      </w:pPr>
      <w:r>
        <w:rPr>
          <w:rFonts w:ascii="Times New Roman" w:hAnsi="Times New Roman"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Times New Roman" w:hAnsi="Times New Roman" w:eastAsia="仿宋" w:cs="Times New Roman"/>
          <w:kern w:val="2"/>
          <w:sz w:val="28"/>
          <w:szCs w:val="28"/>
        </w:rPr>
      </w:pPr>
      <w:r>
        <w:rPr>
          <w:rFonts w:ascii="Times New Roman" w:hAnsi="Times New Roman" w:eastAsia="仿宋" w:cs="Times New Roman"/>
          <w:kern w:val="2"/>
          <w:sz w:val="28"/>
          <w:szCs w:val="28"/>
        </w:rPr>
        <w:t>报告中财务和科研数据的统计时点为</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lang w:val="en-US" w:eastAsia="zh-CN"/>
        </w:rPr>
        <w:t>2022-2023</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 8 月 31 日）。</w:t>
      </w:r>
    </w:p>
    <w:p>
      <w:pPr>
        <w:widowControl w:val="0"/>
        <w:ind w:firstLine="420"/>
        <w:rPr>
          <w:rFonts w:ascii="Times New Roman" w:hAnsi="Times New Roman" w:eastAsia="仿宋" w:cstheme="minorBidi"/>
          <w:kern w:val="2"/>
          <w:sz w:val="28"/>
          <w:szCs w:val="28"/>
        </w:rPr>
      </w:pPr>
    </w:p>
    <w:p>
      <w:pPr>
        <w:rPr>
          <w:rFonts w:ascii="Times New Roman" w:hAnsi="Times New Roman" w:eastAsia="仿宋" w:cstheme="minorBidi"/>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type="lines" w:linePitch="312" w:charSpace="0"/>
        </w:sectPr>
      </w:pPr>
      <w:r>
        <w:rPr>
          <w:rFonts w:ascii="Times New Roman" w:hAnsi="Times New Roman" w:eastAsia="仿宋" w:cstheme="minorBidi"/>
          <w:kern w:val="2"/>
          <w:sz w:val="28"/>
          <w:szCs w:val="28"/>
        </w:rPr>
        <w:br w:type="page"/>
      </w:r>
    </w:p>
    <w:p>
      <w:pPr>
        <w:pStyle w:val="3"/>
        <w:pageBreakBefore/>
        <w:spacing w:after="120" w:line="415" w:lineRule="auto"/>
        <w:jc w:val="left"/>
        <w:rPr>
          <w:rFonts w:ascii="Times New Roman" w:hAnsi="Times New Roman"/>
          <w:sz w:val="28"/>
          <w:szCs w:val="28"/>
        </w:rPr>
      </w:pPr>
      <w:bookmarkStart w:id="4" w:name="_Toc159705209"/>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专业概况</w:t>
      </w:r>
      <w:bookmarkEnd w:id="4"/>
    </w:p>
    <w:p>
      <w:pPr>
        <w:pStyle w:val="4"/>
        <w:rPr>
          <w:rFonts w:ascii="Times New Roman" w:hAnsi="Times New Roman" w:eastAsia="宋体"/>
          <w:b w:val="0"/>
          <w:bCs w:val="0"/>
          <w:sz w:val="24"/>
          <w:szCs w:val="24"/>
        </w:rPr>
      </w:pPr>
      <w:bookmarkStart w:id="5" w:name="_Toc159705210"/>
      <w:r>
        <w:rPr>
          <w:rFonts w:hint="eastAsia" w:ascii="Times New Roman" w:hAnsi="Times New Roman" w:eastAsia="宋体"/>
          <w:b w:val="0"/>
          <w:bCs w:val="0"/>
          <w:sz w:val="24"/>
          <w:szCs w:val="24"/>
        </w:rPr>
        <w:t>1</w:t>
      </w:r>
      <w:r>
        <w:rPr>
          <w:rFonts w:ascii="Times New Roman" w:hAnsi="Times New Roman" w:eastAsia="宋体"/>
          <w:b w:val="0"/>
          <w:bCs w:val="0"/>
          <w:sz w:val="24"/>
          <w:szCs w:val="24"/>
        </w:rPr>
        <w:t>.1</w:t>
      </w:r>
      <w:r>
        <w:rPr>
          <w:rFonts w:hint="eastAsia" w:ascii="Times New Roman" w:hAnsi="Times New Roman" w:eastAsia="宋体"/>
          <w:b w:val="0"/>
          <w:bCs w:val="0"/>
          <w:sz w:val="24"/>
          <w:szCs w:val="24"/>
        </w:rPr>
        <w:t>专业设置情况</w:t>
      </w:r>
      <w:bookmarkEnd w:id="5"/>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上海工程技术大学工商管理专业不断创新办学模式、凝练专业特色，强化建设师资队伍，提高教学和科研水平，经过不懈努力，</w:t>
      </w:r>
      <w:r>
        <w:rPr>
          <w:rFonts w:ascii="Times New Roman" w:hAnsi="Times New Roman" w:cs="Times New Roman"/>
          <w:szCs w:val="28"/>
        </w:rPr>
        <w:t xml:space="preserve"> 2010年获批国家级特色专业，2011年获批工商管理一级学科硕士学位授予权，2020年入选国家级一流本科专业建设点。工商管理专业面向制造强国、交通强国等国家战略需求，瞄准上海产业发展趋势，依托科教与产教融合特色以及管理学与工学交叉融合传统，把专业建设与紧缺人才培养紧密结合在一起，已成为“航空经营管理”和“城市轨道交通运营管理”紧缺人才的培养基地。</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具有一批在国内外具有一定影响的专家、学者和优秀青年学术人才，基本形成了一支以学科带头人为核心、中青年学术骨干为主体综合竞争力和凝集力强的高水平教师队伍。工商管理专业建设已取得多项卓越成果，获得了国家精品视频公开课、国家精品在线开放课程、上海市精品课程、上海市示范性全英语课程、上海市重点建设课程等；教学改革研究成果获国家教学成果奖二等奖</w:t>
      </w:r>
      <w:r>
        <w:rPr>
          <w:rFonts w:ascii="Times New Roman" w:hAnsi="Times New Roman" w:cs="Times New Roman"/>
          <w:szCs w:val="28"/>
        </w:rPr>
        <w:t>1项、上海市教学成果奖一等奖2项、上海市教学成果奖二等奖2项。</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2022-2023学年，工商管理生源质量不断提高，第一志愿录取率、报到率100%。学生掌握了专业基本理论、基本知识和基本技能，达到专业毕业要求，具备了从事本专业相关工作的能力。毕业率达到100%</w:t>
      </w:r>
      <w:r>
        <w:rPr>
          <w:rFonts w:hint="eastAsia" w:ascii="Times New Roman" w:hAnsi="Times New Roman" w:cs="Times New Roman"/>
          <w:szCs w:val="28"/>
        </w:rPr>
        <w:t>，</w:t>
      </w:r>
      <w:r>
        <w:rPr>
          <w:rFonts w:ascii="Times New Roman" w:hAnsi="Times New Roman" w:cs="Times New Roman"/>
          <w:szCs w:val="28"/>
        </w:rPr>
        <w:t>就业率高，毕业生以实用性强、适应性快等优势获得用人单位的青睐，基本上达成了学生专业知识充分、结构合理、素质综合、单位满意、专业对口的良好局面。学生就业基本分布在政府机关、工商企业和金融企业管理层、以及新闻媒体、经济咨询机构等部门国有大中型企业，外资企业，多数从事企业咨询、人力资源、生产管理、航空管理等相</w:t>
      </w:r>
      <w:r>
        <w:rPr>
          <w:rFonts w:hint="eastAsia" w:ascii="Times New Roman" w:hAnsi="Times New Roman" w:cs="Times New Roman"/>
          <w:szCs w:val="28"/>
        </w:rPr>
        <w:t>关岗位。近三年毕业生就业率均大于</w:t>
      </w:r>
      <w:r>
        <w:rPr>
          <w:rFonts w:ascii="Times New Roman" w:hAnsi="Times New Roman" w:cs="Times New Roman"/>
          <w:szCs w:val="28"/>
        </w:rPr>
        <w:t>90%。</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工商管理专业初步建立了内部质量监控机制、外部质量评价机制和基于评价结果的持续改进机制；制定了主要教学环节的质量标准、建立了课程体系合理性评价机制、课程目标达成情况评价机制和毕业要</w:t>
      </w:r>
      <w:r>
        <w:rPr>
          <w:rFonts w:ascii="Times New Roman" w:hAnsi="Times New Roman" w:cs="Times New Roman"/>
          <w:szCs w:val="28"/>
        </w:rPr>
        <w:t xml:space="preserve"> 求达成评价机制，并有执行。专业师资队伍完全支撑专业人才培养。</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教师数量相对充足，师资结构合理，教师教学投入较足。学校建有师德建设长效机制和考核制度，专业教师能很好落实。专业教师能按照主要教学环节的要求，保证教学质量，专业教师能积极参与科学研究和教学改革，在教学科研项目、学术论文发表、教研论文发表等方面取得比较好的成果。专业教师、辅导员等对学生进行分层次、多维度、系列化的指导，效果满意。</w:t>
      </w:r>
    </w:p>
    <w:p>
      <w:pPr>
        <w:spacing w:line="360" w:lineRule="auto"/>
        <w:ind w:firstLine="480" w:firstLineChars="200"/>
        <w:jc w:val="both"/>
        <w:rPr>
          <w:rFonts w:ascii="Times New Roman" w:hAnsi="Times New Roman"/>
        </w:rPr>
      </w:pPr>
      <w:r>
        <w:rPr>
          <w:rFonts w:hint="eastAsia" w:ascii="Times New Roman" w:hAnsi="Times New Roman" w:cs="Times New Roman"/>
          <w:szCs w:val="28"/>
        </w:rPr>
        <w:t>教室、专业实验室与实习基地，图书资料、专业教学经费均能满足专业建设和发展的需要，学校建有鼓励教师积极国内访学、国外访学、产学研践习、青年教师岗前培训等教师发展工程，能满足部分老师的发展需求，教师积极的投入科学研究和教学改革，教学质量工程取得较好成果。院系组织机构健全，规章制度完善，运行有效。</w:t>
      </w:r>
    </w:p>
    <w:p>
      <w:pPr>
        <w:pStyle w:val="36"/>
        <w:spacing w:before="156" w:after="156"/>
        <w:rPr>
          <w:rFonts w:hint="eastAsia"/>
        </w:rPr>
      </w:pPr>
      <w:r>
        <w:rPr>
          <w:rFonts w:hint="eastAsia"/>
        </w:rPr>
        <w:t>表1 工商管理专业设置情况</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ind w:left="2659" w:right="2650"/>
              <w:jc w:val="center"/>
              <w:rPr>
                <w:rFonts w:ascii="Times New Roman" w:hAnsi="Times New Roman"/>
                <w:sz w:val="21"/>
                <w:szCs w:val="21"/>
              </w:rPr>
            </w:pPr>
            <w:r>
              <w:rPr>
                <w:rFonts w:hint="eastAsia" w:ascii="Times New Roman" w:hAnsi="Times New Roman"/>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sz w:val="21"/>
                <w:szCs w:val="21"/>
              </w:rPr>
            </w:pPr>
            <w:r>
              <w:rPr>
                <w:rFonts w:hint="eastAsia" w:ascii="Times New Roman" w:hAnsi="Times New Roman"/>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rPr>
            </w:pPr>
            <w:r>
              <w:rPr>
                <w:rFonts w:hint="eastAsia" w:ascii="Times New Roman" w:hAnsi="Times New Roman"/>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120201K</w:t>
            </w:r>
            <w:bookmarkStart w:id="6" w:name="OLE_LINK2"/>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工商管理</w:t>
            </w:r>
            <w:bookmarkStart w:id="7" w:name="OLE_LINK3"/>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1978</w:t>
            </w:r>
            <w:bookmarkStart w:id="8" w:name="OLE_LINK4"/>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bookmarkStart w:id="9" w:name="OLE_LINK5"/>
            <w:r>
              <w:rPr>
                <w:rFonts w:hint="eastAsia" w:ascii="Times New Roman" w:hAnsi="Times New Roman"/>
                <w:sz w:val="21"/>
                <w:szCs w:val="22"/>
              </w:rPr>
              <w:t>优势专业类型</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国家级一流专业建设点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bookmarkStart w:id="10" w:name="OLE_LINK6"/>
            <w:r>
              <w:rPr>
                <w:rFonts w:hint="eastAsia" w:ascii="Times New Roman" w:hAnsi="Times New Roman"/>
                <w:sz w:val="21"/>
                <w:szCs w:val="22"/>
              </w:rPr>
              <w:t>允许修业年限</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bookmarkStart w:id="11" w:name="OLE_LINK7"/>
            <w:r>
              <w:rPr>
                <w:rFonts w:hint="eastAsia" w:ascii="Times New Roman" w:hAnsi="Times New Roman"/>
                <w:sz w:val="21"/>
                <w:szCs w:val="22"/>
              </w:rPr>
              <w:t>授予学位门类</w:t>
            </w:r>
            <w:bookmarkEnd w:id="11"/>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14.79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rPr>
            </w:pPr>
            <w:r>
              <w:rPr>
                <w:rFonts w:hint="eastAsia" w:ascii="Times New Roman" w:hAnsi="Times New Roman"/>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胡斌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cs="Segoe UI"/>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7"/>
              <w:spacing w:before="8" w:beforeAutospacing="0"/>
              <w:jc w:val="center"/>
              <w:rPr>
                <w:rFonts w:ascii="Times New Roman" w:hAnsi="Times New Roman"/>
                <w:sz w:val="21"/>
                <w:szCs w:val="22"/>
              </w:rPr>
            </w:pPr>
            <w:r>
              <w:rPr>
                <w:rFonts w:hint="eastAsia" w:ascii="Times New Roman" w:hAnsi="Times New Roman"/>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7"/>
              <w:spacing w:before="8"/>
              <w:jc w:val="center"/>
              <w:rPr>
                <w:rFonts w:ascii="Times New Roman" w:hAnsi="Times New Roman"/>
                <w:sz w:val="21"/>
                <w:szCs w:val="22"/>
              </w:rPr>
            </w:pPr>
            <w:r>
              <w:rPr>
                <w:rFonts w:ascii="Times New Roman" w:hAnsi="Times New Roman" w:cs="Segoe UI"/>
                <w:sz w:val="21"/>
                <w:szCs w:val="21"/>
              </w:rPr>
              <w:t>0</w:t>
            </w:r>
          </w:p>
        </w:tc>
      </w:tr>
    </w:tbl>
    <w:p>
      <w:pPr>
        <w:rPr>
          <w:rFonts w:ascii="Times New Roman" w:hAnsi="Times New Roman"/>
        </w:rPr>
      </w:pPr>
      <w:bookmarkStart w:id="12" w:name="_TOC_250064"/>
      <w:bookmarkEnd w:id="12"/>
      <w:bookmarkStart w:id="13" w:name="_TOC_250067"/>
      <w:bookmarkEnd w:id="13"/>
    </w:p>
    <w:p>
      <w:pPr>
        <w:pStyle w:val="4"/>
        <w:rPr>
          <w:rFonts w:ascii="Times New Roman" w:hAnsi="Times New Roman" w:eastAsia="宋体"/>
          <w:b w:val="0"/>
          <w:bCs w:val="0"/>
          <w:sz w:val="24"/>
          <w:szCs w:val="24"/>
        </w:rPr>
      </w:pPr>
      <w:bookmarkStart w:id="14" w:name="_Toc159705211"/>
      <w:r>
        <w:rPr>
          <w:rFonts w:hint="eastAsia" w:ascii="Times New Roman" w:hAnsi="Times New Roman" w:eastAsia="宋体"/>
          <w:b w:val="0"/>
          <w:bCs w:val="0"/>
          <w:sz w:val="24"/>
          <w:szCs w:val="24"/>
        </w:rPr>
        <w:t>1</w:t>
      </w:r>
      <w:r>
        <w:rPr>
          <w:rFonts w:ascii="Times New Roman" w:hAnsi="Times New Roman" w:eastAsia="宋体"/>
          <w:b w:val="0"/>
          <w:bCs w:val="0"/>
          <w:sz w:val="24"/>
          <w:szCs w:val="24"/>
        </w:rPr>
        <w:t>.2</w:t>
      </w:r>
      <w:r>
        <w:rPr>
          <w:rFonts w:hint="eastAsia" w:ascii="Times New Roman" w:hAnsi="Times New Roman" w:eastAsia="宋体"/>
          <w:b w:val="0"/>
          <w:bCs w:val="0"/>
          <w:sz w:val="24"/>
          <w:szCs w:val="24"/>
        </w:rPr>
        <w:t>人才培养目标</w:t>
      </w:r>
      <w:bookmarkEnd w:id="14"/>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贯彻落实教育部《高等学校课程思政建设指导纲要》（教高〔</w:t>
      </w:r>
      <w:r>
        <w:rPr>
          <w:rFonts w:ascii="Times New Roman" w:hAnsi="Times New Roman" w:cs="Times New Roman"/>
          <w:szCs w:val="28"/>
        </w:rPr>
        <w:t>2020〕3号）文件精神，落实立德树人根本任务，坚持以社会主义核心价值观为引领，基于学校“坚持依托现代产业办学、服务经济社会发展”的办学宗旨，以对接“创新驱动、转型发展”的国家战略，对接新兴产业革命，对接上海应用型高等管理人才需求缺口。本专业通过强化管理学科基础理论与创新创业实践相结合的教学模式，强调管理学科与人文学科、理工学科的交叉融合，达到对学生知识、能力、素质综合培养协调发展的教学理念和德育目标，践行上海工程技术大学建设现代化工程应用型特色大学办学</w:t>
      </w:r>
      <w:r>
        <w:rPr>
          <w:rFonts w:hint="eastAsia" w:ascii="Times New Roman" w:hAnsi="Times New Roman" w:cs="Times New Roman"/>
          <w:szCs w:val="28"/>
        </w:rPr>
        <w:t>定位，构建“德、智、体、美、劳”全面培养的教育体系，为国家培养担当民族复兴大任的高素质应用型工商管理人才。</w:t>
      </w:r>
    </w:p>
    <w:p>
      <w:pPr>
        <w:pStyle w:val="3"/>
        <w:spacing w:after="120" w:line="415" w:lineRule="auto"/>
        <w:jc w:val="left"/>
        <w:rPr>
          <w:rFonts w:ascii="Times New Roman" w:hAnsi="Times New Roman"/>
          <w:sz w:val="28"/>
          <w:szCs w:val="28"/>
        </w:rPr>
      </w:pPr>
      <w:bookmarkStart w:id="15" w:name="_Toc159705212"/>
      <w:r>
        <w:rPr>
          <w:rFonts w:ascii="Times New Roman" w:hAnsi="Times New Roman"/>
          <w:sz w:val="28"/>
          <w:szCs w:val="28"/>
        </w:rPr>
        <w:t>2.</w:t>
      </w:r>
      <w:r>
        <w:rPr>
          <w:rFonts w:hint="eastAsia" w:ascii="Times New Roman" w:hAnsi="Times New Roman"/>
          <w:sz w:val="28"/>
          <w:szCs w:val="28"/>
        </w:rPr>
        <w:t>毕业要求</w:t>
      </w:r>
      <w:bookmarkEnd w:id="15"/>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（1）毕业要求内容</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本专业要求学生学习管理学、经济学及法律方面的基本理论知识，接受工商管理方法与技巧方面的基本训练，具有分析和解决工商管理实际问题的基本能力。</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具体要求如下：</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（一）通过课程学习使学生了解我国的方针政策，引导学生践行社会主义核心价值观，培养学生的诚信品格和社会责任感。</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（二）掌握管理学、经济学的基本原理和现代企业管理的基本理论、基本知识。</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（三）掌握管理的定性、定量分析方法和解决企业管理工作和问题的基本能力。</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（四）掌握文献检索、资料查询和调研分析的基本方法，具有一定的科学研究和实际工作能力，</w:t>
      </w:r>
      <w:r>
        <w:rPr>
          <w:rFonts w:ascii="Times New Roman" w:hAnsi="Times New Roman" w:cs="Times New Roman"/>
          <w:szCs w:val="28"/>
        </w:rPr>
        <w:t xml:space="preserve"> 具有一定的批判性思维能力。 </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（五）了解本学科的理论前沿和发展动态，熟悉我国企业管理的有关方针、政策和法规以及国际企业管理科的惯例与规则。</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（六）具备较强的语言与文字表达、人际沟通能力。</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（七）较熟练地掌握一门外语，能比较顺利地阅读本专业的外文书刊，并具有听、说、写的基础。</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（八）学生掌握计算机知识，能熟练使用办公自动化软件，并能对常用管理模型进行程序设计。</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（九）具有人文社会科学素养、社会责任感，能够在工商管理实践中发扬崇尚劳动、无私奉献的精神，理解并遵守工商管理职业道德和规范。</w:t>
      </w:r>
    </w:p>
    <w:p>
      <w:pPr>
        <w:spacing w:line="360" w:lineRule="auto"/>
        <w:ind w:firstLine="480" w:firstLineChars="200"/>
        <w:jc w:val="both"/>
        <w:rPr>
          <w:rFonts w:ascii="Times New Roman" w:hAnsi="Times New Roman" w:cs="Times New Roman"/>
          <w:color w:val="FF0000"/>
          <w:szCs w:val="28"/>
        </w:rPr>
      </w:pPr>
      <w:r>
        <w:rPr>
          <w:rFonts w:hint="eastAsia" w:ascii="Times New Roman" w:hAnsi="Times New Roman" w:cs="Times New Roman"/>
          <w:szCs w:val="28"/>
        </w:rPr>
        <w:t>（十）学生还将通过人文科学、社会科学、自然科学等课程的学习，以及社会实践和第二课堂的活动等，获得较为全面的素质培养。</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（2）毕业要求达成度</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对2019级（2023届）</w:t>
      </w:r>
      <w:r>
        <w:rPr>
          <w:rFonts w:hint="eastAsia" w:ascii="Times New Roman" w:hAnsi="Times New Roman" w:cs="Times New Roman"/>
          <w:szCs w:val="28"/>
        </w:rPr>
        <w:t>工商管理</w:t>
      </w:r>
      <w:r>
        <w:rPr>
          <w:rFonts w:ascii="Times New Roman" w:hAnsi="Times New Roman" w:cs="Times New Roman"/>
          <w:szCs w:val="28"/>
        </w:rPr>
        <w:t>专业毕业生开展了毕业要求达成度问卷调查，</w:t>
      </w:r>
      <w:r>
        <w:rPr>
          <w:rFonts w:hint="eastAsia" w:ascii="Times New Roman" w:hAnsi="Times New Roman"/>
        </w:rPr>
        <w:t>，以了解毕业生</w:t>
      </w:r>
      <w:r>
        <w:rPr>
          <w:rFonts w:ascii="Times New Roman" w:hAnsi="Times New Roman"/>
        </w:rPr>
        <w:t>目前从事的工作对能力的要求</w:t>
      </w:r>
      <w:r>
        <w:rPr>
          <w:rFonts w:hint="eastAsia" w:ascii="Times New Roman" w:hAnsi="Times New Roman"/>
        </w:rPr>
        <w:t>的达成度情况，发放问卷</w:t>
      </w:r>
      <w:r>
        <w:rPr>
          <w:rFonts w:ascii="Times New Roman" w:hAnsi="Times New Roman"/>
        </w:rPr>
        <w:t>60</w:t>
      </w:r>
      <w:r>
        <w:rPr>
          <w:rFonts w:hint="eastAsia" w:ascii="Times New Roman" w:hAnsi="Times New Roman"/>
        </w:rPr>
        <w:t>份，收回2</w:t>
      </w:r>
      <w:r>
        <w:rPr>
          <w:rFonts w:ascii="Times New Roman" w:hAnsi="Times New Roman"/>
        </w:rPr>
        <w:t>6</w:t>
      </w:r>
      <w:r>
        <w:rPr>
          <w:rFonts w:hint="eastAsia" w:ascii="Times New Roman" w:hAnsi="Times New Roman"/>
        </w:rPr>
        <w:t>份，收回率为</w:t>
      </w:r>
      <w:r>
        <w:rPr>
          <w:rFonts w:ascii="Times New Roman" w:hAnsi="Times New Roman"/>
        </w:rPr>
        <w:t>43.33%</w:t>
      </w:r>
      <w:r>
        <w:rPr>
          <w:rFonts w:ascii="Times New Roman" w:hAnsi="Times New Roman" w:cs="Times New Roman"/>
          <w:szCs w:val="28"/>
        </w:rPr>
        <w:t>。2019级（2023届）毕业要求共8条，针对每一条毕业要求，定义5档并赋予分值，分别为完全达成（5分）、较好达成（4分）、达成（3分）、未达成（2分）和严重未达成（1分），最终根据选项的百分比计算得到达成度。</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调查结果显示：</w:t>
      </w:r>
      <w:r>
        <w:rPr>
          <w:rFonts w:ascii="Times New Roman" w:hAnsi="Times New Roman" w:cs="Times New Roman"/>
          <w:szCs w:val="28"/>
        </w:rPr>
        <w:t>100%的毕业生认为其达成了毕业要求1、毕业要求2、毕业要求3、毕业要求5和毕业要求8。96.15%的毕业生认为其达成了毕业要求4、毕业要求6和毕业要求7。</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从本专业培养目标来看，本专业以行业需求为导向，为国家培养亟需的高等应用型工商管理人才。本专业的毕业要求达成情况较好地支撑了专业培养目标。由表</w:t>
      </w:r>
      <w:r>
        <w:rPr>
          <w:rFonts w:ascii="Times New Roman" w:hAnsi="Times New Roman" w:cs="Times New Roman"/>
          <w:szCs w:val="28"/>
        </w:rPr>
        <w:t>2可见，调研数据显示：2019级（2023届）毕业生表示其较好地达到了设定的毕业要求。其中，在沟通表达、团队合作、创新能力方面达成度较高（3.8分以上），其次是学科知识、应用能力、信息应用方面（3.7-3.8分），相对而言，在进一步的学习发展方面达成度略低（3.7分以下）。说明我校工商管理专业人才培养质量较好，达到预期设定的目标，为培养目标的实现奠定基础。</w:t>
      </w:r>
    </w:p>
    <w:p>
      <w:pPr>
        <w:pStyle w:val="36"/>
        <w:spacing w:before="156" w:after="156"/>
        <w:rPr>
          <w:rFonts w:hint="eastAsia"/>
        </w:rPr>
      </w:pPr>
      <w:r>
        <w:rPr>
          <w:rFonts w:hint="eastAsia"/>
        </w:rPr>
        <w:t>表</w:t>
      </w:r>
      <w:r>
        <w:t>2 工商管理专业2019级（2023届）毕业生毕业要求达成情况</w:t>
      </w:r>
    </w:p>
    <w:tbl>
      <w:tblPr>
        <w:tblStyle w:val="16"/>
        <w:tblW w:w="5006" w:type="pct"/>
        <w:tblInd w:w="-5" w:type="dxa"/>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Layout w:type="autofit"/>
        <w:tblCellMar>
          <w:top w:w="0" w:type="dxa"/>
          <w:left w:w="108" w:type="dxa"/>
          <w:bottom w:w="0" w:type="dxa"/>
          <w:right w:w="108" w:type="dxa"/>
        </w:tblCellMar>
      </w:tblPr>
      <w:tblGrid>
        <w:gridCol w:w="6698"/>
        <w:gridCol w:w="1834"/>
      </w:tblGrid>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vAlign w:val="center"/>
          </w:tcPr>
          <w:p>
            <w:pPr>
              <w:snapToGrid w:val="0"/>
              <w:spacing w:before="60" w:after="60" w:line="360" w:lineRule="auto"/>
              <w:jc w:val="center"/>
              <w:rPr>
                <w:rFonts w:ascii="Times New Roman" w:hAnsi="Times New Roman"/>
                <w:b/>
                <w:bCs/>
              </w:rPr>
            </w:pPr>
            <w:r>
              <w:rPr>
                <w:rFonts w:hint="eastAsia" w:ascii="Times New Roman" w:hAnsi="Times New Roman"/>
                <w:b/>
                <w:bCs/>
              </w:rPr>
              <w:t>毕业要求</w:t>
            </w:r>
          </w:p>
        </w:tc>
        <w:tc>
          <w:tcPr>
            <w:tcW w:w="1785" w:type="dxa"/>
            <w:shd w:val="clear" w:color="auto" w:fill="auto"/>
            <w:vAlign w:val="center"/>
          </w:tcPr>
          <w:p>
            <w:pPr>
              <w:snapToGrid w:val="0"/>
              <w:spacing w:before="60" w:after="60" w:line="360" w:lineRule="auto"/>
              <w:jc w:val="center"/>
              <w:rPr>
                <w:rFonts w:ascii="Times New Roman" w:hAnsi="Times New Roman"/>
                <w:b/>
                <w:bCs/>
              </w:rPr>
            </w:pPr>
            <w:r>
              <w:rPr>
                <w:rFonts w:hint="eastAsia" w:ascii="Times New Roman" w:hAnsi="Times New Roman"/>
                <w:b/>
                <w:bCs/>
              </w:rPr>
              <w:t>达成度</w:t>
            </w:r>
          </w:p>
          <w:p>
            <w:pPr>
              <w:snapToGrid w:val="0"/>
              <w:spacing w:before="60" w:after="60" w:line="360" w:lineRule="auto"/>
              <w:jc w:val="center"/>
              <w:rPr>
                <w:rFonts w:ascii="Times New Roman" w:hAnsi="Times New Roman"/>
                <w:b/>
                <w:bCs/>
              </w:rPr>
            </w:pPr>
            <w:r>
              <w:rPr>
                <w:rFonts w:hint="eastAsia" w:ascii="Times New Roman" w:hAnsi="Times New Roman"/>
                <w:b/>
                <w:bCs/>
              </w:rPr>
              <w:t>（</w:t>
            </w:r>
            <w:r>
              <w:rPr>
                <w:rFonts w:ascii="Times New Roman" w:hAnsi="Times New Roman"/>
                <w:b/>
                <w:bCs/>
              </w:rPr>
              <w:t>平均分</w:t>
            </w:r>
            <w:r>
              <w:rPr>
                <w:rFonts w:hint="eastAsia" w:ascii="Times New Roman" w:hAnsi="Times New Roman"/>
                <w:b/>
                <w:bCs/>
              </w:rPr>
              <w:t>）</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掌握管理学、经济学的基本原理和现代企业管理的基本理论、基本知识。</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掌握管理的定性、定量分析方法和解决企业管理工作和问题的基本能力。</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掌握文献检索、资料查询和调研分析的基本方法，具有一定的科学研究和实际工作能力，具有一定的批判性思维能力。</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了解本学科的理论前沿和发展动态，熟悉我国企业管理的有关方针、政策和法规以及国际企业管理科的惯例与规则。</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.69</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具备较强的语言与文字表达、人际沟通能力。</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.81</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较熟练地掌握一门外语，能比较顺利地阅读本专业的外文书刊，并具有听、说、写的基础。</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掌握计算机知识，能熟练使用办公自动化软件，并能对常用管理模型进行程序设计。</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.73</w:t>
            </w:r>
          </w:p>
        </w:tc>
      </w:tr>
      <w:tr>
        <w:tblPrEx>
          <w:tblBorders>
            <w:top w:val="single" w:color="0C0C0C" w:themeColor="text1" w:themeTint="F2" w:sz="4" w:space="0"/>
            <w:left w:val="single" w:color="0C0C0C" w:themeColor="text1" w:themeTint="F2" w:sz="4" w:space="0"/>
            <w:bottom w:val="single" w:color="0C0C0C" w:themeColor="text1" w:themeTint="F2" w:sz="4" w:space="0"/>
            <w:right w:val="single" w:color="0C0C0C" w:themeColor="text1" w:themeTint="F2" w:sz="4"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00" w:hRule="atLeast"/>
        </w:trPr>
        <w:tc>
          <w:tcPr>
            <w:tcW w:w="6521" w:type="dxa"/>
            <w:shd w:val="clear" w:color="auto" w:fill="auto"/>
          </w:tcPr>
          <w:p>
            <w:pPr>
              <w:snapToGrid w:val="0"/>
              <w:spacing w:before="60" w:after="60" w:line="360" w:lineRule="auto"/>
              <w:rPr>
                <w:rFonts w:ascii="Times New Roman" w:hAnsi="Times New Roman"/>
              </w:rPr>
            </w:pPr>
            <w:r>
              <w:rPr>
                <w:rFonts w:hint="eastAsia" w:ascii="Times New Roman" w:hAnsi="Times New Roman"/>
                <w:szCs w:val="21"/>
              </w:rPr>
              <w:t>通过人文科学、社会科学、自然科学等课程的学习，以及社会实践和第二课堂的活动等，获得较为全面的素质培养。</w:t>
            </w:r>
          </w:p>
        </w:tc>
        <w:tc>
          <w:tcPr>
            <w:tcW w:w="1785" w:type="dxa"/>
            <w:shd w:val="clear" w:color="auto" w:fill="auto"/>
            <w:vAlign w:val="center"/>
          </w:tcPr>
          <w:p>
            <w:pPr>
              <w:snapToGrid w:val="0"/>
              <w:spacing w:before="60" w:after="60" w:line="360" w:lineRule="auto"/>
              <w:jc w:val="center"/>
              <w:rPr>
                <w:rFonts w:ascii="Times New Roman" w:hAnsi="Times New Roman"/>
              </w:rPr>
            </w:pPr>
            <w:r>
              <w:rPr>
                <w:rFonts w:hint="eastAsia" w:ascii="Times New Roman" w:hAnsi="Times New Roman"/>
              </w:rPr>
              <w:t>3</w:t>
            </w:r>
            <w:r>
              <w:rPr>
                <w:rFonts w:ascii="Times New Roman" w:hAnsi="Times New Roman"/>
              </w:rPr>
              <w:t>.81</w:t>
            </w:r>
          </w:p>
        </w:tc>
      </w:tr>
    </w:tbl>
    <w:p>
      <w:pPr>
        <w:rPr>
          <w:rFonts w:ascii="Times New Roman" w:hAnsi="Times New Roman" w:cs="Times New Roman"/>
          <w:color w:val="FF0000"/>
          <w:sz w:val="21"/>
          <w:szCs w:val="21"/>
        </w:rPr>
      </w:pPr>
      <w:r>
        <w:rPr>
          <w:rFonts w:ascii="Times New Roman" w:hAnsi="Times New Roman" w:cs="Times New Roman"/>
          <w:sz w:val="21"/>
          <w:szCs w:val="21"/>
        </w:rPr>
        <w:t xml:space="preserve"> [注]达成度计算可根据选项5档，分别赋5、4、3、2、1分，根据选项的百分比加权得到。</w:t>
      </w:r>
    </w:p>
    <w:p>
      <w:pPr>
        <w:widowControl w:val="0"/>
        <w:rPr>
          <w:rFonts w:ascii="Times New Roman" w:hAnsi="Times New Roman" w:eastAsia="仿宋" w:cstheme="minorBidi"/>
          <w:kern w:val="2"/>
        </w:rPr>
      </w:pPr>
    </w:p>
    <w:p>
      <w:pPr>
        <w:pStyle w:val="3"/>
        <w:spacing w:after="120" w:line="415" w:lineRule="auto"/>
        <w:jc w:val="left"/>
        <w:rPr>
          <w:rFonts w:ascii="Times New Roman" w:hAnsi="Times New Roman"/>
          <w:sz w:val="28"/>
          <w:szCs w:val="28"/>
        </w:rPr>
      </w:pPr>
      <w:bookmarkStart w:id="16" w:name="_Toc159705213"/>
      <w:r>
        <w:rPr>
          <w:rFonts w:ascii="Times New Roman" w:hAnsi="Times New Roman"/>
          <w:sz w:val="28"/>
          <w:szCs w:val="28"/>
        </w:rPr>
        <w:t>3.</w:t>
      </w:r>
      <w:r>
        <w:rPr>
          <w:rFonts w:hint="eastAsia" w:ascii="Times New Roman" w:hAnsi="Times New Roman"/>
          <w:sz w:val="28"/>
          <w:szCs w:val="28"/>
        </w:rPr>
        <w:t>培养情况</w:t>
      </w:r>
      <w:bookmarkEnd w:id="16"/>
      <w:r>
        <w:rPr>
          <w:rFonts w:ascii="Times New Roman" w:hAnsi="Times New Roman"/>
          <w:sz w:val="28"/>
          <w:szCs w:val="28"/>
        </w:rPr>
        <w:t xml:space="preserve"> </w:t>
      </w:r>
    </w:p>
    <w:p>
      <w:pPr>
        <w:pStyle w:val="4"/>
        <w:rPr>
          <w:rFonts w:ascii="Times New Roman" w:hAnsi="Times New Roman" w:eastAsia="宋体"/>
          <w:b w:val="0"/>
          <w:bCs w:val="0"/>
          <w:sz w:val="24"/>
          <w:szCs w:val="24"/>
        </w:rPr>
      </w:pPr>
      <w:bookmarkStart w:id="17" w:name="_Toc159705214"/>
      <w:r>
        <w:rPr>
          <w:rFonts w:hint="eastAsia" w:ascii="Times New Roman" w:hAnsi="Times New Roman" w:eastAsia="宋体"/>
          <w:b w:val="0"/>
          <w:bCs w:val="0"/>
          <w:sz w:val="24"/>
          <w:szCs w:val="24"/>
        </w:rPr>
        <w:t>3</w:t>
      </w:r>
      <w:r>
        <w:rPr>
          <w:rFonts w:ascii="Times New Roman" w:hAnsi="Times New Roman" w:eastAsia="宋体"/>
          <w:b w:val="0"/>
          <w:bCs w:val="0"/>
          <w:sz w:val="24"/>
          <w:szCs w:val="24"/>
        </w:rPr>
        <w:t>.1</w:t>
      </w:r>
      <w:r>
        <w:rPr>
          <w:rFonts w:hint="eastAsia" w:ascii="Times New Roman" w:hAnsi="Times New Roman" w:eastAsia="宋体"/>
          <w:b w:val="0"/>
          <w:bCs w:val="0"/>
          <w:sz w:val="24"/>
          <w:szCs w:val="24"/>
        </w:rPr>
        <w:t>专业建设情况</w:t>
      </w:r>
      <w:bookmarkEnd w:id="17"/>
    </w:p>
    <w:p>
      <w:pPr>
        <w:spacing w:line="360" w:lineRule="auto"/>
        <w:ind w:firstLine="480" w:firstLineChars="200"/>
        <w:jc w:val="both"/>
        <w:rPr>
          <w:rFonts w:ascii="Times New Roman" w:hAnsi="Times New Roman"/>
          <w:szCs w:val="28"/>
        </w:rPr>
      </w:pPr>
      <w:bookmarkStart w:id="18" w:name="_Toc8656"/>
      <w:bookmarkStart w:id="19" w:name="_Toc3230"/>
      <w:bookmarkStart w:id="20" w:name="_Toc17697"/>
      <w:bookmarkStart w:id="21" w:name="_Toc25634"/>
      <w:r>
        <w:rPr>
          <w:rFonts w:ascii="Times New Roman" w:hAnsi="Times New Roman" w:cs="Times New Roman"/>
          <w:szCs w:val="28"/>
        </w:rPr>
        <w:t>（1）培养方案的修订、优化和落实</w:t>
      </w:r>
      <w:bookmarkEnd w:id="18"/>
      <w:bookmarkEnd w:id="19"/>
      <w:bookmarkEnd w:id="20"/>
      <w:bookmarkEnd w:id="21"/>
    </w:p>
    <w:p>
      <w:pPr>
        <w:spacing w:line="360" w:lineRule="auto"/>
        <w:ind w:firstLine="480" w:firstLineChars="200"/>
        <w:jc w:val="both"/>
        <w:rPr>
          <w:rFonts w:ascii="Times New Roman" w:hAnsi="Times New Roman"/>
        </w:rPr>
      </w:pPr>
      <w:r>
        <w:rPr>
          <w:rFonts w:ascii="Times New Roman" w:hAnsi="Times New Roman"/>
          <w:szCs w:val="28"/>
        </w:rPr>
        <w:t>对标学校办学定位与</w:t>
      </w:r>
      <w:r>
        <w:rPr>
          <w:rFonts w:hint="eastAsia" w:ascii="Times New Roman" w:hAnsi="Times New Roman"/>
          <w:szCs w:val="28"/>
        </w:rPr>
        <w:t>地区经济发展需求</w:t>
      </w:r>
      <w:r>
        <w:rPr>
          <w:rFonts w:ascii="Times New Roman" w:hAnsi="Times New Roman"/>
          <w:szCs w:val="28"/>
        </w:rPr>
        <w:t>，按照OBE教育理念——成果导向、能力导向、目标导向，全面修订本科人才培养方案。根据学校定位与</w:t>
      </w:r>
      <w:r>
        <w:rPr>
          <w:rFonts w:hint="eastAsia" w:ascii="Times New Roman" w:hAnsi="Times New Roman"/>
          <w:szCs w:val="28"/>
        </w:rPr>
        <w:t>人才</w:t>
      </w:r>
      <w:r>
        <w:rPr>
          <w:rFonts w:ascii="Times New Roman" w:hAnsi="Times New Roman"/>
          <w:szCs w:val="28"/>
        </w:rPr>
        <w:t>目标，进一步总结、凝练专业培养目标、毕业要求，设置课程体系，力求课程体系、毕业要求、人才培育目标相互支撑，相互印证，形成</w:t>
      </w:r>
      <w:r>
        <w:rPr>
          <w:rFonts w:hint="eastAsia" w:ascii="Times New Roman" w:hAnsi="Times New Roman"/>
          <w:szCs w:val="28"/>
        </w:rPr>
        <w:t>“毕业要求——课程体系对应矩阵”及具有专业特色的“实践教学环节”，切实将地区经济发展需求、学校办学定位、培养目标落实到本科人才培养的各个环节中。</w:t>
      </w:r>
      <w:bookmarkStart w:id="22" w:name="_Toc692"/>
      <w:bookmarkStart w:id="23" w:name="_Toc6295"/>
      <w:bookmarkStart w:id="24" w:name="_Toc23287"/>
      <w:bookmarkStart w:id="25" w:name="_Toc22649"/>
      <w:r>
        <w:rPr>
          <w:rFonts w:ascii="Times New Roman" w:hAnsi="Times New Roman"/>
        </w:rPr>
        <w:t>以全面学生能力提升为目标，鼓励学生基于个人兴趣、未来职业规划等方面修读不同课程，不仅提高了学生知识积累的广度和深度，而且激发个人兴趣，对促进学生全面发展具有较大意义。</w:t>
      </w:r>
    </w:p>
    <w:bookmarkEnd w:id="22"/>
    <w:bookmarkEnd w:id="23"/>
    <w:bookmarkEnd w:id="24"/>
    <w:bookmarkEnd w:id="25"/>
    <w:p>
      <w:pPr>
        <w:shd w:val="clear" w:color="auto" w:fill="FFFFFF"/>
        <w:snapToGrid w:val="0"/>
        <w:spacing w:line="360" w:lineRule="auto"/>
        <w:ind w:firstLine="360"/>
        <w:rPr>
          <w:rFonts w:ascii="Times New Roman" w:hAnsi="Times New Roman"/>
        </w:rPr>
      </w:pPr>
      <w:r>
        <w:rPr>
          <w:rFonts w:hint="eastAsia" w:ascii="Times New Roman" w:hAnsi="Times New Roman"/>
        </w:rPr>
        <w:t>（2）</w:t>
      </w:r>
      <w:r>
        <w:rPr>
          <w:rFonts w:ascii="Times New Roman" w:hAnsi="Times New Roman"/>
        </w:rPr>
        <w:t>课程教学大纲制定情况</w:t>
      </w:r>
    </w:p>
    <w:p>
      <w:pPr>
        <w:shd w:val="clear" w:color="auto" w:fill="FFFFFF"/>
        <w:snapToGrid w:val="0"/>
        <w:spacing w:line="360" w:lineRule="auto"/>
        <w:ind w:firstLine="360"/>
        <w:rPr>
          <w:rFonts w:ascii="Times New Roman" w:hAnsi="Times New Roman"/>
        </w:rPr>
      </w:pPr>
      <w:r>
        <w:rPr>
          <w:rFonts w:ascii="Times New Roman" w:hAnsi="Times New Roman"/>
        </w:rPr>
        <w:t>本专业严格落实课程大纲的制定要求，对培养计划中的每门课程均制定了完整的教学大纲。本专业要求每门任课教师在开课前必须准备好教学大纲、教学计划表和教学方案，其中教学大纲和教学计划表每学期在开课前必须向教务处提交备案。首次开课的教师必须将这些基本教学文件交由系主任和教学副院长两级审核，审核通过后才能上交教务处，并且正常开课。</w:t>
      </w:r>
    </w:p>
    <w:p>
      <w:pPr>
        <w:shd w:val="clear" w:color="auto" w:fill="FFFFFF"/>
        <w:snapToGrid w:val="0"/>
        <w:spacing w:line="360" w:lineRule="auto"/>
        <w:ind w:firstLine="360"/>
        <w:rPr>
          <w:rFonts w:ascii="Times New Roman" w:hAnsi="Times New Roman"/>
        </w:rPr>
      </w:pPr>
      <w:r>
        <w:rPr>
          <w:rFonts w:hint="eastAsia" w:ascii="Times New Roman" w:hAnsi="Times New Roman"/>
        </w:rPr>
        <w:t>（3）专业课程</w:t>
      </w:r>
      <w:r>
        <w:rPr>
          <w:rFonts w:ascii="Times New Roman" w:hAnsi="Times New Roman"/>
        </w:rPr>
        <w:t>教材</w:t>
      </w:r>
      <w:r>
        <w:rPr>
          <w:rFonts w:hint="eastAsia" w:ascii="Times New Roman" w:hAnsi="Times New Roman"/>
        </w:rPr>
        <w:t>选用审核</w:t>
      </w:r>
    </w:p>
    <w:p>
      <w:pPr>
        <w:spacing w:line="360" w:lineRule="auto"/>
        <w:ind w:firstLine="480" w:firstLineChars="200"/>
        <w:jc w:val="both"/>
        <w:rPr>
          <w:rFonts w:ascii="Times New Roman" w:hAnsi="Times New Roman"/>
          <w:szCs w:val="28"/>
        </w:rPr>
      </w:pPr>
      <w:r>
        <w:rPr>
          <w:rFonts w:ascii="Times New Roman" w:hAnsi="Times New Roman"/>
        </w:rPr>
        <w:t>本专业的所有专任教师每学期都承担1-3门本专业课程的教学工作，能够完成本学年270课时以上的教学工作量，其中，高级职称教师均担任了专业课或者专业基础课的授课任务，每门专业课程均设置A、B角色，专业核心课程均建有2-5人课程组。多门课程结合教学目标建设具有线上资源的在线课程。多名教师具有行业背景，结合行业实践参与指导毕业论文和开设讲座。</w:t>
      </w:r>
    </w:p>
    <w:p>
      <w:pPr>
        <w:shd w:val="clear" w:color="auto" w:fill="FFFFFF"/>
        <w:snapToGrid w:val="0"/>
        <w:spacing w:line="360" w:lineRule="auto"/>
        <w:ind w:firstLine="360"/>
        <w:rPr>
          <w:rFonts w:ascii="Times New Roman" w:hAnsi="Times New Roman"/>
        </w:rPr>
      </w:pPr>
      <w:r>
        <w:rPr>
          <w:rFonts w:ascii="Times New Roman" w:hAnsi="Times New Roman"/>
        </w:rPr>
        <w:t>专业</w:t>
      </w:r>
      <w:r>
        <w:rPr>
          <w:rFonts w:hint="eastAsia" w:ascii="Times New Roman" w:hAnsi="Times New Roman"/>
        </w:rPr>
        <w:t>严把专业课程教材选用审核</w:t>
      </w:r>
      <w:r>
        <w:rPr>
          <w:rFonts w:ascii="Times New Roman" w:hAnsi="Times New Roman"/>
        </w:rPr>
        <w:t>。按照教育部《普通高等学校本科专业类教学质量国家标准》以及学校的相关要求，选择符合“一流专业”、“一流课程”的优秀本科教材。与此同时，加强教材使用规范建设，要求教师在选用教材时，必须填写“教材选用计划表”，经审核通过后方可选用教材。</w:t>
      </w:r>
    </w:p>
    <w:p>
      <w:pPr>
        <w:pStyle w:val="4"/>
        <w:rPr>
          <w:rFonts w:ascii="Times New Roman" w:hAnsi="Times New Roman" w:eastAsia="宋体"/>
          <w:b w:val="0"/>
          <w:bCs w:val="0"/>
          <w:sz w:val="24"/>
          <w:szCs w:val="24"/>
        </w:rPr>
      </w:pPr>
      <w:bookmarkStart w:id="26" w:name="_Toc159705215"/>
      <w:r>
        <w:rPr>
          <w:rFonts w:ascii="Times New Roman" w:hAnsi="Times New Roman" w:eastAsia="宋体"/>
          <w:b w:val="0"/>
          <w:bCs w:val="0"/>
          <w:sz w:val="24"/>
          <w:szCs w:val="24"/>
        </w:rPr>
        <w:t>3.2专业教学计划</w:t>
      </w:r>
      <w:bookmarkEnd w:id="26"/>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3.2.1专业教学计划情况</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专业教学计划项目学时共3496个，其中理论教学学时2070个，占比59.21%，实验教学学时1426个，占比40.79%；专业教学计划项目学分共159分，其中理论教学学分120.38分，占比75.71%，实验教学学分6.62分，占比4.16%，集中性实践教学环节学分28分，占比17.61%，课外科技活动学分4分，占比2.52%。</w:t>
      </w:r>
    </w:p>
    <w:p>
      <w:pPr>
        <w:pStyle w:val="36"/>
        <w:spacing w:before="156" w:after="156"/>
      </w:pPr>
      <w:r>
        <w:t>表</w:t>
      </w:r>
      <w:r>
        <w:rPr>
          <w:rFonts w:hint="eastAsia"/>
        </w:rPr>
        <w:t>3</w:t>
      </w:r>
      <w:r>
        <w:t xml:space="preserve"> </w:t>
      </w:r>
      <w:r>
        <w:rPr>
          <w:rFonts w:hint="eastAsia"/>
        </w:rPr>
        <w:t>工商管理</w:t>
      </w:r>
      <w:r>
        <w:t>专业</w:t>
      </w:r>
      <w:r>
        <w:rPr>
          <w:rFonts w:hint="eastAsia"/>
        </w:rPr>
        <w:t>教学计划</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rPr>
                <w:rFonts w:ascii="Times New Roman" w:hAnsi="Times New Roman"/>
              </w:rPr>
            </w:pPr>
            <w:r>
              <w:rPr>
                <w:rFonts w:hint="eastAsia" w:ascii="Times New Roman" w:hAnsi="Times New Roman"/>
                <w:sz w:val="21"/>
                <w:szCs w:val="22"/>
              </w:rPr>
              <w:t>项目</w:t>
            </w:r>
          </w:p>
        </w:tc>
        <w:tc>
          <w:tcPr>
            <w:tcW w:w="3081"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学时</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数量</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占总学时比例（</w:t>
            </w:r>
            <w:r>
              <w:rPr>
                <w:rFonts w:ascii="Times New Roman" w:hAnsi="Times New Roman" w:eastAsia="Times New Roman" w:cs="Noto Sans Mono CJK JP Regular"/>
                <w:b/>
                <w:sz w:val="21"/>
                <w:szCs w:val="22"/>
              </w:rPr>
              <w:t>%</w:t>
            </w:r>
            <w:r>
              <w:rPr>
                <w:rFonts w:hint="eastAsia" w:ascii="Times New Roman" w:hAnsi="Times New Roman"/>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数量</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占总学分比例（</w:t>
            </w:r>
            <w:r>
              <w:rPr>
                <w:rFonts w:ascii="Times New Roman" w:hAnsi="Times New Roman" w:eastAsia="Times New Roman" w:cs="Noto Sans Mono CJK JP Regular"/>
                <w:b/>
                <w:sz w:val="21"/>
                <w:szCs w:val="22"/>
              </w:rPr>
              <w:t>%</w:t>
            </w:r>
            <w:r>
              <w:rPr>
                <w:rFonts w:hint="eastAsia" w:ascii="Times New Roman" w:hAnsi="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bookmarkStart w:id="27" w:name="OLE_LINK10"/>
            <w:r>
              <w:rPr>
                <w:rFonts w:hint="eastAsia" w:ascii="Times New Roman" w:hAnsi="Times New Roman"/>
                <w:sz w:val="21"/>
                <w:szCs w:val="22"/>
              </w:rPr>
              <w:t>理论教学</w:t>
            </w:r>
            <w:bookmarkEnd w:id="27"/>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2070</w:t>
            </w:r>
            <w:bookmarkStart w:id="28" w:name="OLE_LINK8"/>
            <w:bookmarkEnd w:id="28"/>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59.21</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120.38</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75.71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实验教学</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1426</w:t>
            </w:r>
            <w:bookmarkStart w:id="29" w:name="OLE_LINK9"/>
            <w:bookmarkEnd w:id="29"/>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40.79</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6.62</w:t>
            </w:r>
            <w:bookmarkStart w:id="30" w:name="OLE_LINK11"/>
            <w:bookmarkEnd w:id="30"/>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集中性实践教学环节</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28</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17.61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课外科技活动</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4</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13"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合计</w:t>
            </w:r>
          </w:p>
        </w:tc>
        <w:tc>
          <w:tcPr>
            <w:tcW w:w="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3496</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159</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27"/>
              <w:spacing w:before="51" w:beforeAutospacing="0" w:after="0" w:afterAutospacing="0"/>
              <w:jc w:val="center"/>
              <w:rPr>
                <w:rFonts w:ascii="Times New Roman" w:hAnsi="Times New Roman"/>
              </w:rPr>
            </w:pPr>
            <w:r>
              <w:rPr>
                <w:rFonts w:ascii="Times New Roman" w:hAnsi="Times New Roman" w:cs="Noto Sans Mono CJK JP Regular"/>
                <w:b/>
                <w:sz w:val="21"/>
                <w:szCs w:val="22"/>
              </w:rPr>
              <w:t>--</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4-2 专业培养计划表。</w:t>
      </w: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3.2.2</w:t>
      </w:r>
      <w:bookmarkStart w:id="31" w:name="OLE_LINK12"/>
      <w:r>
        <w:rPr>
          <w:rFonts w:ascii="Times New Roman" w:hAnsi="Times New Roman" w:eastAsia="宋体" w:cstheme="minorBidi"/>
          <w:b w:val="0"/>
          <w:bCs w:val="0"/>
          <w:kern w:val="2"/>
          <w:sz w:val="24"/>
          <w:szCs w:val="24"/>
        </w:rPr>
        <w:t>课程实施情况表</w:t>
      </w:r>
      <w:bookmarkEnd w:id="31"/>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专业课程共710</w:t>
      </w:r>
      <w:r>
        <w:rPr>
          <w:rFonts w:ascii="Times New Roman" w:hAnsi="Times New Roman" w:cs="Times New Roman"/>
          <w:szCs w:val="28"/>
        </w:rPr>
        <w:t>4</w:t>
      </w:r>
      <w:r>
        <w:rPr>
          <w:rFonts w:hint="eastAsia" w:ascii="Times New Roman" w:hAnsi="Times New Roman" w:cs="Times New Roman"/>
          <w:szCs w:val="28"/>
        </w:rPr>
        <w:t>学时</w:t>
      </w:r>
      <w:r>
        <w:rPr>
          <w:rFonts w:ascii="Times New Roman" w:hAnsi="Times New Roman" w:cs="Times New Roman"/>
          <w:szCs w:val="28"/>
        </w:rPr>
        <w:t>，其中专业必修课</w:t>
      </w:r>
      <w:r>
        <w:rPr>
          <w:rFonts w:hint="eastAsia" w:ascii="Times New Roman" w:hAnsi="Times New Roman" w:cs="Times New Roman"/>
          <w:szCs w:val="28"/>
        </w:rPr>
        <w:t>3</w:t>
      </w:r>
      <w:r>
        <w:rPr>
          <w:rFonts w:ascii="Times New Roman" w:hAnsi="Times New Roman" w:cs="Times New Roman"/>
          <w:szCs w:val="28"/>
        </w:rPr>
        <w:t>524学时，占比53.83%，专业选修课3280学时，占比46.17%；总学分共</w:t>
      </w:r>
      <w:r>
        <w:rPr>
          <w:rFonts w:hint="eastAsia" w:ascii="Times New Roman" w:hAnsi="Times New Roman" w:cs="Times New Roman"/>
          <w:szCs w:val="28"/>
        </w:rPr>
        <w:t>4</w:t>
      </w:r>
      <w:r>
        <w:rPr>
          <w:rFonts w:ascii="Times New Roman" w:hAnsi="Times New Roman" w:cs="Times New Roman"/>
          <w:szCs w:val="28"/>
        </w:rPr>
        <w:t>44分，其中专业必修课学分239分，占比53.83%，专业选修课学分205分，占比46.17%。</w:t>
      </w:r>
    </w:p>
    <w:p>
      <w:pPr>
        <w:pStyle w:val="36"/>
        <w:spacing w:before="156" w:after="156"/>
        <w:rPr>
          <w:rFonts w:hint="eastAsia"/>
        </w:rPr>
      </w:pPr>
      <w:r>
        <w:t>表</w:t>
      </w:r>
      <w:r>
        <w:rPr>
          <w:rFonts w:hint="eastAsia"/>
        </w:rPr>
        <w:t>4</w:t>
      </w:r>
      <w:r>
        <w:t xml:space="preserve"> </w:t>
      </w:r>
      <w:r>
        <w:rPr>
          <w:rFonts w:hint="eastAsia"/>
        </w:rPr>
        <w:t>工商管理</w:t>
      </w:r>
      <w:r>
        <w:t>专业</w:t>
      </w:r>
      <w:r>
        <w:rPr>
          <w:rFonts w:hint="eastAsia"/>
        </w:rPr>
        <w:t>课程实施情况</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before="111" w:beforeAutospacing="0" w:after="0" w:afterAutospacing="0"/>
              <w:jc w:val="center"/>
              <w:rPr>
                <w:rFonts w:ascii="Times New Roman" w:hAnsi="Times New Roman"/>
              </w:rPr>
            </w:pPr>
            <w:r>
              <w:rPr>
                <w:rFonts w:hint="eastAsia" w:ascii="Times New Roman" w:hAnsi="Times New Roman"/>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占总开课学时比例（</w:t>
            </w:r>
            <w:r>
              <w:rPr>
                <w:rFonts w:ascii="Times New Roman" w:hAnsi="Times New Roman" w:eastAsia="Times New Roman" w:cs="Noto Sans Mono CJK JP Regular"/>
                <w:b/>
                <w:sz w:val="21"/>
                <w:szCs w:val="22"/>
              </w:rPr>
              <w:t>%</w:t>
            </w:r>
            <w:r>
              <w:rPr>
                <w:rFonts w:hint="eastAsia" w:ascii="Times New Roman" w:hAnsi="Times New Roman"/>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hint="eastAsia" w:ascii="Times New Roman" w:hAnsi="Times New Roman"/>
                <w:sz w:val="21"/>
                <w:szCs w:val="22"/>
              </w:rPr>
              <w:t>占总开课学分比例（</w:t>
            </w:r>
            <w:r>
              <w:rPr>
                <w:rFonts w:ascii="Times New Roman" w:hAnsi="Times New Roman" w:eastAsia="Times New Roman" w:cs="Noto Sans Mono CJK JP Regular"/>
                <w:b/>
                <w:sz w:val="21"/>
                <w:szCs w:val="22"/>
              </w:rPr>
              <w:t>%</w:t>
            </w:r>
            <w:r>
              <w:rPr>
                <w:rFonts w:hint="eastAsia" w:ascii="Times New Roman" w:hAnsi="Times New Roman"/>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bookmarkStart w:id="32" w:name="OLE_LINK13"/>
            <w:r>
              <w:rPr>
                <w:rFonts w:hint="eastAsia" w:ascii="Times New Roman" w:hAnsi="Times New Roman"/>
                <w:sz w:val="21"/>
                <w:szCs w:val="22"/>
              </w:rPr>
              <w:t>专业必修课</w:t>
            </w:r>
            <w:bookmarkEnd w:id="32"/>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3824</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53.83</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239</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53.83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3280</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46.17</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205</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46.17</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5-1-1开课情况、表 5-1-2 专业课教学实施情况。</w:t>
      </w:r>
    </w:p>
    <w:p>
      <w:pPr>
        <w:pStyle w:val="4"/>
        <w:rPr>
          <w:rFonts w:ascii="Times New Roman" w:hAnsi="Times New Roman" w:eastAsia="宋体"/>
          <w:b w:val="0"/>
          <w:bCs w:val="0"/>
          <w:sz w:val="24"/>
          <w:szCs w:val="24"/>
        </w:rPr>
      </w:pPr>
      <w:bookmarkStart w:id="33" w:name="_Toc159705216"/>
      <w:r>
        <w:rPr>
          <w:rFonts w:ascii="Times New Roman" w:hAnsi="Times New Roman" w:eastAsia="宋体"/>
          <w:b w:val="0"/>
          <w:bCs w:val="0"/>
          <w:sz w:val="24"/>
          <w:szCs w:val="24"/>
        </w:rPr>
        <w:t>3.3</w:t>
      </w:r>
      <w:r>
        <w:rPr>
          <w:rFonts w:hint="eastAsia" w:ascii="Times New Roman" w:hAnsi="Times New Roman" w:eastAsia="宋体"/>
          <w:b w:val="0"/>
          <w:bCs w:val="0"/>
          <w:sz w:val="24"/>
          <w:szCs w:val="24"/>
        </w:rPr>
        <w:t>专业课开设情况</w:t>
      </w:r>
      <w:bookmarkEnd w:id="33"/>
    </w:p>
    <w:p>
      <w:pPr>
        <w:spacing w:line="360" w:lineRule="auto"/>
        <w:ind w:firstLine="480" w:firstLineChars="200"/>
        <w:jc w:val="both"/>
        <w:rPr>
          <w:rFonts w:ascii="Times New Roman" w:hAnsi="Times New Roman"/>
        </w:rPr>
      </w:pPr>
      <w:r>
        <w:rPr>
          <w:rFonts w:hint="eastAsia" w:ascii="Times New Roman" w:hAnsi="Times New Roman" w:cs="Times New Roman"/>
          <w:szCs w:val="28"/>
        </w:rPr>
        <w:t>专业课程总门次数为19</w:t>
      </w:r>
      <w:r>
        <w:rPr>
          <w:rFonts w:ascii="Times New Roman" w:hAnsi="Times New Roman" w:cs="Times New Roman"/>
          <w:szCs w:val="28"/>
        </w:rPr>
        <w:t>9</w:t>
      </w:r>
      <w:r>
        <w:rPr>
          <w:rFonts w:hint="eastAsia" w:ascii="Times New Roman" w:hAnsi="Times New Roman" w:cs="Times New Roman"/>
          <w:szCs w:val="28"/>
        </w:rPr>
        <w:t>次，其中开设专业课</w:t>
      </w:r>
      <w:r>
        <w:rPr>
          <w:rFonts w:ascii="Times New Roman" w:hAnsi="Times New Roman" w:cs="Times New Roman"/>
          <w:szCs w:val="28"/>
        </w:rPr>
        <w:t>50</w:t>
      </w:r>
      <w:r>
        <w:rPr>
          <w:rFonts w:hint="eastAsia" w:ascii="Times New Roman" w:hAnsi="Times New Roman" w:cs="Times New Roman"/>
          <w:szCs w:val="28"/>
        </w:rPr>
        <w:t>门。</w:t>
      </w:r>
    </w:p>
    <w:p>
      <w:pPr>
        <w:pStyle w:val="36"/>
        <w:spacing w:before="156" w:after="156"/>
      </w:pPr>
      <w:r>
        <w:t>表</w:t>
      </w:r>
      <w:r>
        <w:rPr>
          <w:rFonts w:hint="eastAsia"/>
        </w:rPr>
        <w:t>5</w:t>
      </w:r>
      <w:r>
        <w:t xml:space="preserve"> </w:t>
      </w:r>
      <w:r>
        <w:rPr>
          <w:rFonts w:hint="eastAsia"/>
        </w:rPr>
        <w:t>工商管理</w:t>
      </w:r>
      <w:r>
        <w:t>专业</w:t>
      </w:r>
      <w:r>
        <w:rPr>
          <w:rFonts w:hint="eastAsia"/>
        </w:rPr>
        <w:t>课开设情况</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项目</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课程门数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课程总门次数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sz w:val="21"/>
                <w:szCs w:val="22"/>
              </w:rPr>
            </w:pPr>
            <w:r>
              <w:rPr>
                <w:rFonts w:hint="eastAsia" w:ascii="Times New Roman" w:hAnsi="Times New Roman"/>
                <w:sz w:val="21"/>
                <w:szCs w:val="22"/>
              </w:rPr>
              <w:t>开设全外语课程门次数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27"/>
              <w:spacing w:before="0" w:beforeAutospacing="0" w:after="0" w:afterAutospacing="0"/>
              <w:jc w:val="center"/>
              <w:rPr>
                <w:rFonts w:ascii="Times New Roman" w:hAnsi="Times New Roman"/>
              </w:rPr>
            </w:pPr>
            <w:r>
              <w:rPr>
                <w:rFonts w:hint="eastAsia" w:ascii="Times New Roman" w:hAnsi="Times New Roman"/>
                <w:sz w:val="21"/>
                <w:szCs w:val="22"/>
              </w:rPr>
              <w:t>开设双语课程门次数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ascii="Times New Roman" w:hAnsi="Times New Roman"/>
              </w:rPr>
            </w:pPr>
            <w:r>
              <w:rPr>
                <w:rFonts w:ascii="Times New Roman" w:hAnsi="Times New Roman" w:cs="Noto Sans Mono CJK JP Regular"/>
                <w:sz w:val="20"/>
                <w:szCs w:val="22"/>
              </w:rPr>
              <w:t>0</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5-1-1开课情况、表 5-1-2 专业课教学实施情况。</w:t>
      </w:r>
    </w:p>
    <w:p>
      <w:pPr>
        <w:rPr>
          <w:rFonts w:ascii="Times New Roman" w:hAnsi="Times New Roman"/>
        </w:rPr>
      </w:pPr>
    </w:p>
    <w:p>
      <w:pPr>
        <w:pStyle w:val="4"/>
        <w:rPr>
          <w:rFonts w:ascii="Times New Roman" w:hAnsi="Times New Roman" w:eastAsia="宋体"/>
          <w:b w:val="0"/>
          <w:bCs w:val="0"/>
          <w:sz w:val="24"/>
          <w:szCs w:val="24"/>
        </w:rPr>
      </w:pPr>
      <w:bookmarkStart w:id="34" w:name="_Toc159705217"/>
      <w:r>
        <w:rPr>
          <w:rFonts w:ascii="Times New Roman" w:hAnsi="Times New Roman" w:eastAsia="宋体"/>
          <w:b w:val="0"/>
          <w:bCs w:val="0"/>
          <w:sz w:val="24"/>
          <w:szCs w:val="24"/>
        </w:rPr>
        <w:t>3.4专业课课堂规模</w:t>
      </w:r>
      <w:bookmarkEnd w:id="34"/>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专业课课堂的平均规模为68.</w:t>
      </w:r>
      <w:r>
        <w:rPr>
          <w:rFonts w:ascii="Times New Roman" w:hAnsi="Times New Roman" w:cs="Times New Roman"/>
          <w:szCs w:val="28"/>
        </w:rPr>
        <w:t>91</w:t>
      </w:r>
      <w:r>
        <w:rPr>
          <w:rFonts w:hint="eastAsia" w:ascii="Times New Roman" w:hAnsi="Times New Roman" w:cs="Times New Roman"/>
          <w:szCs w:val="28"/>
        </w:rPr>
        <w:t>人，其中课堂规模在30人及以下的有2</w:t>
      </w:r>
      <w:r>
        <w:rPr>
          <w:rFonts w:ascii="Times New Roman" w:hAnsi="Times New Roman" w:cs="Times New Roman"/>
          <w:szCs w:val="28"/>
        </w:rPr>
        <w:t>2</w:t>
      </w:r>
      <w:r>
        <w:rPr>
          <w:rFonts w:hint="eastAsia" w:ascii="Times New Roman" w:hAnsi="Times New Roman" w:cs="Times New Roman"/>
          <w:szCs w:val="28"/>
        </w:rPr>
        <w:t>门，占比</w:t>
      </w:r>
      <w:r>
        <w:rPr>
          <w:rFonts w:ascii="Times New Roman" w:hAnsi="Times New Roman" w:cs="Times New Roman"/>
          <w:szCs w:val="28"/>
        </w:rPr>
        <w:t>11.06</w:t>
      </w:r>
      <w:r>
        <w:rPr>
          <w:rFonts w:hint="eastAsia" w:ascii="Times New Roman" w:hAnsi="Times New Roman" w:cs="Times New Roman"/>
          <w:szCs w:val="28"/>
        </w:rPr>
        <w:t>%，课堂规模在31-60人的有</w:t>
      </w:r>
      <w:r>
        <w:rPr>
          <w:rFonts w:ascii="Times New Roman" w:hAnsi="Times New Roman" w:cs="Times New Roman"/>
          <w:szCs w:val="28"/>
        </w:rPr>
        <w:t>61</w:t>
      </w:r>
      <w:r>
        <w:rPr>
          <w:rFonts w:hint="eastAsia" w:ascii="Times New Roman" w:hAnsi="Times New Roman" w:cs="Times New Roman"/>
          <w:szCs w:val="28"/>
        </w:rPr>
        <w:t>门，占比</w:t>
      </w:r>
      <w:r>
        <w:rPr>
          <w:rFonts w:ascii="Times New Roman" w:hAnsi="Times New Roman" w:cs="Times New Roman"/>
          <w:szCs w:val="28"/>
        </w:rPr>
        <w:t>30.65</w:t>
      </w:r>
      <w:r>
        <w:rPr>
          <w:rFonts w:hint="eastAsia" w:ascii="Times New Roman" w:hAnsi="Times New Roman" w:cs="Times New Roman"/>
          <w:szCs w:val="28"/>
        </w:rPr>
        <w:t>%，课堂规模在61-90人的有</w:t>
      </w:r>
      <w:r>
        <w:rPr>
          <w:rFonts w:ascii="Times New Roman" w:hAnsi="Times New Roman" w:cs="Times New Roman"/>
          <w:szCs w:val="28"/>
        </w:rPr>
        <w:t>74</w:t>
      </w:r>
      <w:r>
        <w:rPr>
          <w:rFonts w:hint="eastAsia" w:ascii="Times New Roman" w:hAnsi="Times New Roman" w:cs="Times New Roman"/>
          <w:szCs w:val="28"/>
        </w:rPr>
        <w:t>门，占比</w:t>
      </w:r>
      <w:r>
        <w:rPr>
          <w:rFonts w:ascii="Times New Roman" w:hAnsi="Times New Roman" w:cs="Times New Roman"/>
          <w:szCs w:val="28"/>
        </w:rPr>
        <w:t>37.19</w:t>
      </w:r>
      <w:r>
        <w:rPr>
          <w:rFonts w:hint="eastAsia" w:ascii="Times New Roman" w:hAnsi="Times New Roman" w:cs="Times New Roman"/>
          <w:szCs w:val="28"/>
        </w:rPr>
        <w:t>%，课堂规模在90人及以上的有</w:t>
      </w:r>
      <w:r>
        <w:rPr>
          <w:rFonts w:ascii="Times New Roman" w:hAnsi="Times New Roman" w:cs="Times New Roman"/>
          <w:szCs w:val="28"/>
        </w:rPr>
        <w:t>42</w:t>
      </w:r>
      <w:r>
        <w:rPr>
          <w:rFonts w:hint="eastAsia" w:ascii="Times New Roman" w:hAnsi="Times New Roman" w:cs="Times New Roman"/>
          <w:szCs w:val="28"/>
        </w:rPr>
        <w:t>门，占比</w:t>
      </w:r>
      <w:r>
        <w:rPr>
          <w:rFonts w:ascii="Times New Roman" w:hAnsi="Times New Roman" w:cs="Times New Roman"/>
          <w:szCs w:val="28"/>
        </w:rPr>
        <w:t>21.11</w:t>
      </w:r>
      <w:r>
        <w:rPr>
          <w:rFonts w:hint="eastAsia" w:ascii="Times New Roman" w:hAnsi="Times New Roman" w:cs="Times New Roman"/>
          <w:szCs w:val="28"/>
        </w:rPr>
        <w:t>%。</w:t>
      </w:r>
    </w:p>
    <w:p>
      <w:pPr>
        <w:pStyle w:val="36"/>
        <w:spacing w:before="156" w:after="156"/>
        <w:rPr>
          <w:rFonts w:hint="eastAsia"/>
        </w:rPr>
      </w:pPr>
      <w:r>
        <w:t>表</w:t>
      </w:r>
      <w:r>
        <w:rPr>
          <w:rFonts w:hint="eastAsia"/>
        </w:rPr>
        <w:t>6</w:t>
      </w:r>
      <w:r>
        <w:t xml:space="preserve"> </w:t>
      </w:r>
      <w:r>
        <w:rPr>
          <w:rFonts w:hint="eastAsia"/>
        </w:rPr>
        <w:t>工商管理</w:t>
      </w:r>
      <w:r>
        <w:t>专业</w:t>
      </w:r>
      <w:r>
        <w:rPr>
          <w:rFonts w:hint="eastAsia"/>
        </w:rPr>
        <w:t>课课堂规模</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rFonts w:ascii="Times New Roman" w:hAnsi="Times New Roman"/>
                <w:sz w:val="21"/>
                <w:szCs w:val="21"/>
              </w:rPr>
            </w:pPr>
          </w:p>
        </w:tc>
        <w:tc>
          <w:tcPr>
            <w:tcW w:w="802" w:type="pct"/>
            <w:vAlign w:val="center"/>
          </w:tcPr>
          <w:p>
            <w:pPr>
              <w:jc w:val="center"/>
              <w:rPr>
                <w:rFonts w:ascii="Times New Roman" w:hAnsi="Times New Roman"/>
                <w:sz w:val="21"/>
                <w:szCs w:val="21"/>
              </w:rPr>
            </w:pPr>
            <w:r>
              <w:rPr>
                <w:rFonts w:hint="eastAsia" w:ascii="Times New Roman" w:hAnsi="Times New Roman"/>
                <w:sz w:val="21"/>
                <w:szCs w:val="21"/>
              </w:rPr>
              <w:t>平均规模</w:t>
            </w:r>
          </w:p>
        </w:tc>
        <w:tc>
          <w:tcPr>
            <w:tcW w:w="847" w:type="pct"/>
            <w:vAlign w:val="center"/>
          </w:tcPr>
          <w:p>
            <w:pPr>
              <w:jc w:val="center"/>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0</w:t>
            </w:r>
            <w:r>
              <w:rPr>
                <w:rFonts w:hint="eastAsia" w:ascii="Times New Roman" w:hAnsi="Times New Roman"/>
                <w:sz w:val="21"/>
                <w:szCs w:val="21"/>
              </w:rPr>
              <w:t>人及以下</w:t>
            </w:r>
          </w:p>
        </w:tc>
        <w:tc>
          <w:tcPr>
            <w:tcW w:w="982" w:type="pct"/>
            <w:vAlign w:val="center"/>
          </w:tcPr>
          <w:p>
            <w:pPr>
              <w:jc w:val="center"/>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1-60</w:t>
            </w:r>
            <w:r>
              <w:rPr>
                <w:rFonts w:hint="eastAsia" w:ascii="Times New Roman" w:hAnsi="Times New Roman"/>
                <w:sz w:val="21"/>
                <w:szCs w:val="21"/>
              </w:rPr>
              <w:t>人</w:t>
            </w:r>
          </w:p>
        </w:tc>
        <w:tc>
          <w:tcPr>
            <w:tcW w:w="982" w:type="pct"/>
            <w:vAlign w:val="center"/>
          </w:tcPr>
          <w:p>
            <w:pPr>
              <w:jc w:val="center"/>
              <w:rPr>
                <w:rFonts w:ascii="Times New Roman" w:hAnsi="Times New Roman"/>
                <w:sz w:val="21"/>
                <w:szCs w:val="21"/>
              </w:rPr>
            </w:pPr>
            <w:r>
              <w:rPr>
                <w:rFonts w:ascii="Times New Roman" w:hAnsi="Times New Roman"/>
                <w:sz w:val="21"/>
                <w:szCs w:val="21"/>
              </w:rPr>
              <w:t>61-90</w:t>
            </w:r>
            <w:r>
              <w:rPr>
                <w:rFonts w:hint="eastAsia" w:ascii="Times New Roman" w:hAnsi="Times New Roman"/>
                <w:sz w:val="21"/>
                <w:szCs w:val="21"/>
              </w:rPr>
              <w:t>人</w:t>
            </w:r>
          </w:p>
        </w:tc>
        <w:tc>
          <w:tcPr>
            <w:tcW w:w="847" w:type="pct"/>
            <w:vAlign w:val="center"/>
          </w:tcPr>
          <w:p>
            <w:pPr>
              <w:jc w:val="center"/>
              <w:rPr>
                <w:rFonts w:ascii="Times New Roman" w:hAnsi="Times New Roman"/>
                <w:sz w:val="21"/>
                <w:szCs w:val="21"/>
              </w:rPr>
            </w:pPr>
            <w:r>
              <w:rPr>
                <w:rFonts w:ascii="Times New Roman" w:hAnsi="Times New Roman"/>
                <w:sz w:val="21"/>
                <w:szCs w:val="21"/>
              </w:rPr>
              <w:t>90</w:t>
            </w:r>
            <w:r>
              <w:rPr>
                <w:rFonts w:hint="eastAsia" w:ascii="Times New Roman" w:hAnsi="Times New Roman"/>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rFonts w:ascii="Times New Roman" w:hAnsi="Times New Roman"/>
                <w:sz w:val="21"/>
                <w:szCs w:val="21"/>
              </w:rPr>
            </w:pPr>
            <w:r>
              <w:rPr>
                <w:rFonts w:hint="eastAsia" w:ascii="Times New Roman" w:hAnsi="Times New Roman"/>
                <w:sz w:val="21"/>
                <w:szCs w:val="21"/>
              </w:rPr>
              <w:t>数量</w:t>
            </w:r>
          </w:p>
        </w:tc>
        <w:tc>
          <w:tcPr>
            <w:tcW w:w="802" w:type="pct"/>
            <w:vAlign w:val="center"/>
          </w:tcPr>
          <w:p>
            <w:pPr>
              <w:jc w:val="center"/>
              <w:rPr>
                <w:rFonts w:ascii="Times New Roman" w:hAnsi="Times New Roman"/>
                <w:sz w:val="21"/>
                <w:szCs w:val="21"/>
              </w:rPr>
            </w:pPr>
            <w:r>
              <w:rPr>
                <w:rFonts w:ascii="Times New Roman" w:hAnsi="Times New Roman"/>
                <w:sz w:val="21"/>
                <w:szCs w:val="21"/>
              </w:rPr>
              <w:t>68.91</w:t>
            </w:r>
          </w:p>
        </w:tc>
        <w:tc>
          <w:tcPr>
            <w:tcW w:w="847" w:type="pct"/>
            <w:vAlign w:val="center"/>
          </w:tcPr>
          <w:p>
            <w:pPr>
              <w:jc w:val="center"/>
              <w:rPr>
                <w:rFonts w:ascii="Times New Roman" w:hAnsi="Times New Roman"/>
                <w:sz w:val="21"/>
                <w:szCs w:val="21"/>
              </w:rPr>
            </w:pPr>
            <w:r>
              <w:rPr>
                <w:rFonts w:ascii="Times New Roman" w:hAnsi="Times New Roman"/>
                <w:sz w:val="21"/>
                <w:szCs w:val="21"/>
              </w:rPr>
              <w:t>22</w:t>
            </w:r>
            <w:bookmarkStart w:id="35" w:name="OLE_LINK14"/>
            <w:bookmarkEnd w:id="35"/>
          </w:p>
        </w:tc>
        <w:tc>
          <w:tcPr>
            <w:tcW w:w="982" w:type="pct"/>
            <w:vAlign w:val="center"/>
          </w:tcPr>
          <w:p>
            <w:pPr>
              <w:jc w:val="center"/>
              <w:rPr>
                <w:rFonts w:ascii="Times New Roman" w:hAnsi="Times New Roman"/>
                <w:sz w:val="21"/>
                <w:szCs w:val="21"/>
              </w:rPr>
            </w:pPr>
            <w:r>
              <w:rPr>
                <w:rFonts w:ascii="Times New Roman" w:hAnsi="Times New Roman"/>
                <w:sz w:val="21"/>
                <w:szCs w:val="21"/>
              </w:rPr>
              <w:t>61</w:t>
            </w:r>
            <w:bookmarkStart w:id="36" w:name="OLE_LINK15"/>
            <w:bookmarkEnd w:id="36"/>
          </w:p>
        </w:tc>
        <w:tc>
          <w:tcPr>
            <w:tcW w:w="982" w:type="pct"/>
            <w:vAlign w:val="center"/>
          </w:tcPr>
          <w:p>
            <w:pPr>
              <w:jc w:val="center"/>
              <w:rPr>
                <w:rFonts w:ascii="Times New Roman" w:hAnsi="Times New Roman"/>
                <w:sz w:val="21"/>
                <w:szCs w:val="21"/>
              </w:rPr>
            </w:pPr>
            <w:r>
              <w:rPr>
                <w:rFonts w:ascii="Times New Roman" w:hAnsi="Times New Roman"/>
                <w:sz w:val="21"/>
                <w:szCs w:val="21"/>
              </w:rPr>
              <w:t>74</w:t>
            </w:r>
          </w:p>
        </w:tc>
        <w:tc>
          <w:tcPr>
            <w:tcW w:w="847" w:type="pct"/>
            <w:vAlign w:val="center"/>
          </w:tcPr>
          <w:p>
            <w:pPr>
              <w:jc w:val="center"/>
              <w:rPr>
                <w:rFonts w:ascii="Times New Roman" w:hAnsi="Times New Roman"/>
                <w:sz w:val="21"/>
                <w:szCs w:val="21"/>
              </w:rPr>
            </w:pPr>
            <w:r>
              <w:rPr>
                <w:rFonts w:ascii="Times New Roman" w:hAnsi="Times New Roman"/>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rFonts w:ascii="Times New Roman" w:hAnsi="Times New Roman"/>
                <w:sz w:val="21"/>
                <w:szCs w:val="21"/>
              </w:rPr>
            </w:pPr>
            <w:r>
              <w:rPr>
                <w:rFonts w:hint="eastAsia" w:ascii="Times New Roman" w:hAnsi="Times New Roman"/>
                <w:sz w:val="21"/>
                <w:szCs w:val="21"/>
              </w:rPr>
              <w:t>比例（%）</w:t>
            </w:r>
          </w:p>
        </w:tc>
        <w:tc>
          <w:tcPr>
            <w:tcW w:w="802" w:type="pct"/>
            <w:vAlign w:val="center"/>
          </w:tcPr>
          <w:p>
            <w:pPr>
              <w:jc w:val="center"/>
              <w:rPr>
                <w:rFonts w:ascii="Times New Roman" w:hAnsi="Times New Roman"/>
                <w:sz w:val="21"/>
                <w:szCs w:val="21"/>
              </w:rPr>
            </w:pPr>
            <w:r>
              <w:rPr>
                <w:rFonts w:hint="eastAsia" w:ascii="Times New Roman" w:hAnsi="Times New Roman"/>
                <w:sz w:val="21"/>
                <w:szCs w:val="21"/>
              </w:rPr>
              <w:t>/</w:t>
            </w:r>
          </w:p>
        </w:tc>
        <w:tc>
          <w:tcPr>
            <w:tcW w:w="847" w:type="pct"/>
            <w:vAlign w:val="center"/>
          </w:tcPr>
          <w:p>
            <w:pPr>
              <w:jc w:val="center"/>
              <w:rPr>
                <w:rFonts w:ascii="Times New Roman" w:hAnsi="Times New Roman"/>
                <w:sz w:val="21"/>
                <w:szCs w:val="21"/>
              </w:rPr>
            </w:pPr>
            <w:r>
              <w:rPr>
                <w:rFonts w:ascii="Times New Roman" w:hAnsi="Times New Roman"/>
                <w:sz w:val="21"/>
                <w:szCs w:val="21"/>
              </w:rPr>
              <w:t>11.06</w:t>
            </w:r>
          </w:p>
        </w:tc>
        <w:tc>
          <w:tcPr>
            <w:tcW w:w="982" w:type="pct"/>
            <w:vAlign w:val="center"/>
          </w:tcPr>
          <w:p>
            <w:pPr>
              <w:jc w:val="center"/>
              <w:rPr>
                <w:rFonts w:ascii="Times New Roman" w:hAnsi="Times New Roman"/>
                <w:sz w:val="21"/>
                <w:szCs w:val="21"/>
              </w:rPr>
            </w:pPr>
            <w:r>
              <w:rPr>
                <w:rFonts w:ascii="Times New Roman" w:hAnsi="Times New Roman"/>
                <w:sz w:val="21"/>
                <w:szCs w:val="21"/>
              </w:rPr>
              <w:t>30.65</w:t>
            </w:r>
            <w:bookmarkStart w:id="37" w:name="OLE_LINK16"/>
            <w:bookmarkEnd w:id="37"/>
          </w:p>
        </w:tc>
        <w:tc>
          <w:tcPr>
            <w:tcW w:w="982" w:type="pct"/>
            <w:vAlign w:val="center"/>
          </w:tcPr>
          <w:p>
            <w:pPr>
              <w:jc w:val="center"/>
              <w:rPr>
                <w:rFonts w:ascii="Times New Roman" w:hAnsi="Times New Roman"/>
                <w:sz w:val="21"/>
                <w:szCs w:val="21"/>
              </w:rPr>
            </w:pPr>
            <w:r>
              <w:rPr>
                <w:rFonts w:ascii="Times New Roman" w:hAnsi="Times New Roman"/>
                <w:sz w:val="21"/>
                <w:szCs w:val="21"/>
              </w:rPr>
              <w:t>37.19</w:t>
            </w:r>
          </w:p>
        </w:tc>
        <w:tc>
          <w:tcPr>
            <w:tcW w:w="847" w:type="pct"/>
            <w:vAlign w:val="center"/>
          </w:tcPr>
          <w:p>
            <w:pPr>
              <w:jc w:val="center"/>
              <w:rPr>
                <w:rFonts w:ascii="Times New Roman" w:hAnsi="Times New Roman"/>
                <w:sz w:val="21"/>
                <w:szCs w:val="21"/>
              </w:rPr>
            </w:pPr>
            <w:r>
              <w:rPr>
                <w:rFonts w:ascii="Times New Roman" w:hAnsi="Times New Roman"/>
                <w:sz w:val="21"/>
                <w:szCs w:val="21"/>
              </w:rPr>
              <w:t>21.11</w:t>
            </w:r>
            <w:bookmarkStart w:id="38" w:name="OLE_LINK17"/>
            <w:bookmarkEnd w:id="38"/>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5-1-1开课情况、表 5-1-2 专业课教学实施情况。</w:t>
      </w:r>
    </w:p>
    <w:p>
      <w:pPr>
        <w:rPr>
          <w:rFonts w:ascii="Times New Roman" w:hAnsi="Times New Roman"/>
        </w:rPr>
      </w:pPr>
    </w:p>
    <w:p>
      <w:pPr>
        <w:pStyle w:val="4"/>
        <w:rPr>
          <w:rFonts w:ascii="Times New Roman" w:hAnsi="Times New Roman" w:eastAsia="宋体"/>
          <w:b w:val="0"/>
          <w:bCs w:val="0"/>
          <w:sz w:val="24"/>
          <w:szCs w:val="24"/>
        </w:rPr>
      </w:pPr>
      <w:bookmarkStart w:id="39" w:name="_Toc159705218"/>
      <w:r>
        <w:rPr>
          <w:rFonts w:ascii="Times New Roman" w:hAnsi="Times New Roman" w:eastAsia="宋体"/>
          <w:b w:val="0"/>
          <w:bCs w:val="0"/>
          <w:sz w:val="24"/>
          <w:szCs w:val="24"/>
        </w:rPr>
        <w:t>3.5专业的核心课程情况</w:t>
      </w:r>
      <w:bookmarkEnd w:id="39"/>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专业核心课程包括创业学、管理学、人力资源管理、组织行为学、市场营销学、财务管理、会计学、管理决策模型于方法、公司治理、现代企业形象设计、生产运营管理、质量管理、战略管理共计1</w:t>
      </w:r>
      <w:r>
        <w:rPr>
          <w:rFonts w:ascii="Times New Roman" w:hAnsi="Times New Roman" w:cs="Times New Roman"/>
          <w:szCs w:val="28"/>
        </w:rPr>
        <w:t>3</w:t>
      </w:r>
      <w:r>
        <w:rPr>
          <w:rFonts w:hint="eastAsia" w:ascii="Times New Roman" w:hAnsi="Times New Roman" w:cs="Times New Roman"/>
          <w:szCs w:val="28"/>
        </w:rPr>
        <w:t>门，课程性质均为理论课，其中生产运营管理学分为3分，学时数为4</w:t>
      </w:r>
      <w:r>
        <w:rPr>
          <w:rFonts w:ascii="Times New Roman" w:hAnsi="Times New Roman" w:cs="Times New Roman"/>
          <w:szCs w:val="28"/>
        </w:rPr>
        <w:t>8</w:t>
      </w:r>
      <w:r>
        <w:rPr>
          <w:rFonts w:hint="eastAsia" w:ascii="Times New Roman" w:hAnsi="Times New Roman" w:cs="Times New Roman"/>
          <w:szCs w:val="28"/>
        </w:rPr>
        <w:t>学时，其他课程学分均为2分，学时数为3</w:t>
      </w:r>
      <w:r>
        <w:rPr>
          <w:rFonts w:ascii="Times New Roman" w:hAnsi="Times New Roman" w:cs="Times New Roman"/>
          <w:szCs w:val="28"/>
        </w:rPr>
        <w:t>2</w:t>
      </w:r>
      <w:r>
        <w:rPr>
          <w:rFonts w:hint="eastAsia" w:ascii="Times New Roman" w:hAnsi="Times New Roman" w:cs="Times New Roman"/>
          <w:szCs w:val="28"/>
        </w:rPr>
        <w:t>学时。</w:t>
      </w:r>
    </w:p>
    <w:p>
      <w:pPr>
        <w:pStyle w:val="36"/>
        <w:spacing w:before="156" w:after="156"/>
        <w:rPr>
          <w:rFonts w:hint="eastAsia"/>
        </w:rPr>
      </w:pPr>
      <w:r>
        <w:t>表</w:t>
      </w:r>
      <w:r>
        <w:rPr>
          <w:rFonts w:hint="eastAsia"/>
        </w:rPr>
        <w:t>7</w:t>
      </w:r>
      <w:r>
        <w:t xml:space="preserve"> </w:t>
      </w:r>
      <w:r>
        <w:rPr>
          <w:rFonts w:hint="eastAsia"/>
        </w:rPr>
        <w:t>工商管理</w:t>
      </w:r>
      <w:r>
        <w:t>专业</w:t>
      </w:r>
      <w:r>
        <w:rPr>
          <w:rFonts w:hint="eastAsia"/>
        </w:rPr>
        <w:t>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5" w:type="dxa"/>
            <w:vAlign w:val="center"/>
          </w:tcPr>
          <w:p>
            <w:pPr>
              <w:jc w:val="center"/>
              <w:rPr>
                <w:rFonts w:ascii="Times New Roman" w:hAnsi="Times New Roman"/>
              </w:rPr>
            </w:pPr>
            <w:r>
              <w:rPr>
                <w:rFonts w:hint="eastAsia" w:ascii="Times New Roman" w:hAnsi="Times New Roman"/>
                <w:sz w:val="21"/>
                <w:szCs w:val="22"/>
              </w:rPr>
              <w:t>课程名称</w:t>
            </w:r>
          </w:p>
        </w:tc>
        <w:tc>
          <w:tcPr>
            <w:tcW w:w="1185" w:type="dxa"/>
            <w:vAlign w:val="center"/>
          </w:tcPr>
          <w:p>
            <w:pPr>
              <w:jc w:val="center"/>
              <w:rPr>
                <w:rFonts w:ascii="Times New Roman" w:hAnsi="Times New Roman"/>
              </w:rPr>
            </w:pPr>
            <w:r>
              <w:rPr>
                <w:rFonts w:hint="eastAsia" w:ascii="Times New Roman" w:hAnsi="Times New Roman"/>
                <w:sz w:val="21"/>
                <w:szCs w:val="22"/>
              </w:rPr>
              <w:t>课程号</w:t>
            </w:r>
          </w:p>
        </w:tc>
        <w:tc>
          <w:tcPr>
            <w:tcW w:w="1185" w:type="dxa"/>
            <w:vAlign w:val="center"/>
          </w:tcPr>
          <w:p>
            <w:pPr>
              <w:jc w:val="center"/>
              <w:rPr>
                <w:rFonts w:ascii="Times New Roman" w:hAnsi="Times New Roman"/>
              </w:rPr>
            </w:pPr>
            <w:r>
              <w:rPr>
                <w:rFonts w:hint="eastAsia" w:ascii="Times New Roman" w:hAnsi="Times New Roman"/>
                <w:sz w:val="21"/>
                <w:szCs w:val="22"/>
              </w:rPr>
              <w:t>课程性质</w:t>
            </w:r>
          </w:p>
        </w:tc>
        <w:tc>
          <w:tcPr>
            <w:tcW w:w="1185" w:type="dxa"/>
            <w:vAlign w:val="center"/>
          </w:tcPr>
          <w:p>
            <w:pPr>
              <w:jc w:val="center"/>
              <w:rPr>
                <w:rFonts w:ascii="Times New Roman" w:hAnsi="Times New Roman"/>
              </w:rPr>
            </w:pPr>
            <w:r>
              <w:rPr>
                <w:rFonts w:hint="eastAsia" w:ascii="Times New Roman" w:hAnsi="Times New Roman"/>
                <w:sz w:val="21"/>
                <w:szCs w:val="22"/>
              </w:rPr>
              <w:t>课程类别</w:t>
            </w:r>
          </w:p>
        </w:tc>
        <w:tc>
          <w:tcPr>
            <w:tcW w:w="1185" w:type="dxa"/>
            <w:vAlign w:val="center"/>
          </w:tcPr>
          <w:p>
            <w:pPr>
              <w:jc w:val="center"/>
              <w:rPr>
                <w:rFonts w:ascii="Times New Roman" w:hAnsi="Times New Roman"/>
              </w:rPr>
            </w:pPr>
            <w:r>
              <w:rPr>
                <w:rFonts w:hint="eastAsia" w:ascii="Times New Roman" w:hAnsi="Times New Roman"/>
                <w:sz w:val="21"/>
                <w:szCs w:val="22"/>
              </w:rPr>
              <w:t>学分数</w:t>
            </w:r>
          </w:p>
        </w:tc>
        <w:tc>
          <w:tcPr>
            <w:tcW w:w="1185" w:type="dxa"/>
            <w:vAlign w:val="center"/>
          </w:tcPr>
          <w:p>
            <w:pPr>
              <w:jc w:val="center"/>
              <w:rPr>
                <w:rFonts w:ascii="Times New Roman" w:hAnsi="Times New Roman"/>
              </w:rPr>
            </w:pPr>
            <w:r>
              <w:rPr>
                <w:rFonts w:hint="eastAsia" w:ascii="Times New Roman" w:hAnsi="Times New Roman"/>
                <w:sz w:val="21"/>
                <w:szCs w:val="22"/>
              </w:rPr>
              <w:t>学时数</w:t>
            </w:r>
          </w:p>
        </w:tc>
        <w:tc>
          <w:tcPr>
            <w:tcW w:w="1186" w:type="dxa"/>
            <w:vAlign w:val="center"/>
          </w:tcPr>
          <w:p>
            <w:pPr>
              <w:jc w:val="center"/>
              <w:rPr>
                <w:rFonts w:ascii="Times New Roman" w:hAnsi="Times New Roman"/>
              </w:rPr>
            </w:pPr>
            <w:r>
              <w:rPr>
                <w:rFonts w:hint="eastAsia" w:ascii="Times New Roman" w:hAnsi="Times New Roman"/>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szCs w:val="20"/>
              </w:rPr>
              <w:t>创业学</w:t>
            </w:r>
          </w:p>
        </w:tc>
        <w:tc>
          <w:tcPr>
            <w:tcW w:w="1185" w:type="dxa"/>
            <w:vAlign w:val="center"/>
          </w:tcPr>
          <w:p>
            <w:pPr>
              <w:jc w:val="center"/>
              <w:rPr>
                <w:rFonts w:ascii="Times New Roman" w:hAnsi="Times New Roman"/>
                <w:sz w:val="20"/>
                <w:szCs w:val="20"/>
              </w:rPr>
            </w:pPr>
            <w:r>
              <w:rPr>
                <w:rFonts w:ascii="Times New Roman" w:hAnsi="Times New Roman"/>
                <w:sz w:val="20"/>
                <w:szCs w:val="20"/>
              </w:rPr>
              <w:t>030008</w:t>
            </w:r>
          </w:p>
        </w:tc>
        <w:tc>
          <w:tcPr>
            <w:tcW w:w="1185" w:type="dxa"/>
            <w:vAlign w:val="center"/>
          </w:tcPr>
          <w:p>
            <w:pPr>
              <w:jc w:val="center"/>
              <w:rPr>
                <w:rFonts w:ascii="Times New Roman" w:hAnsi="Times New Roman"/>
                <w:sz w:val="20"/>
                <w:szCs w:val="20"/>
              </w:rPr>
            </w:pPr>
            <w:r>
              <w:rPr>
                <w:rFonts w:ascii="Times New Roman" w:hAnsi="Times New Roman"/>
                <w:sz w:val="20"/>
                <w:szCs w:val="20"/>
              </w:rPr>
              <w:t>理论课</w:t>
            </w:r>
          </w:p>
        </w:tc>
        <w:tc>
          <w:tcPr>
            <w:tcW w:w="1185" w:type="dxa"/>
            <w:vAlign w:val="center"/>
          </w:tcPr>
          <w:p>
            <w:pPr>
              <w:jc w:val="center"/>
              <w:rPr>
                <w:rFonts w:ascii="Times New Roman" w:hAnsi="Times New Roman"/>
                <w:sz w:val="20"/>
                <w:szCs w:val="20"/>
              </w:rPr>
            </w:pPr>
            <w:r>
              <w:rPr>
                <w:rFonts w:ascii="Times New Roman" w:hAnsi="Times New Roman"/>
                <w:sz w:val="20"/>
                <w:szCs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szCs w:val="20"/>
              </w:rPr>
              <w:t>2</w:t>
            </w:r>
          </w:p>
        </w:tc>
        <w:tc>
          <w:tcPr>
            <w:tcW w:w="1185" w:type="dxa"/>
            <w:vAlign w:val="center"/>
          </w:tcPr>
          <w:p>
            <w:pPr>
              <w:jc w:val="center"/>
              <w:rPr>
                <w:rFonts w:ascii="Times New Roman" w:hAnsi="Times New Roman"/>
                <w:sz w:val="20"/>
                <w:szCs w:val="20"/>
              </w:rPr>
            </w:pPr>
            <w:r>
              <w:rPr>
                <w:rFonts w:ascii="Times New Roman" w:hAnsi="Times New Roman"/>
                <w:sz w:val="20"/>
                <w:szCs w:val="20"/>
              </w:rPr>
              <w:t>32</w:t>
            </w:r>
          </w:p>
        </w:tc>
        <w:tc>
          <w:tcPr>
            <w:tcW w:w="1186" w:type="dxa"/>
            <w:vAlign w:val="center"/>
          </w:tcPr>
          <w:p>
            <w:pPr>
              <w:jc w:val="center"/>
              <w:rPr>
                <w:rFonts w:ascii="Times New Roman" w:hAnsi="Times New Roman"/>
                <w:sz w:val="20"/>
                <w:szCs w:val="20"/>
              </w:rPr>
            </w:pPr>
            <w:r>
              <w:rPr>
                <w:rFonts w:ascii="Times New Roman" w:hAnsi="Times New Roman"/>
                <w:sz w:val="20"/>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管理学</w:t>
            </w:r>
          </w:p>
        </w:tc>
        <w:tc>
          <w:tcPr>
            <w:tcW w:w="1185" w:type="dxa"/>
            <w:vAlign w:val="center"/>
          </w:tcPr>
          <w:p>
            <w:pPr>
              <w:jc w:val="center"/>
              <w:rPr>
                <w:rFonts w:ascii="Times New Roman" w:hAnsi="Times New Roman"/>
                <w:sz w:val="20"/>
                <w:szCs w:val="20"/>
              </w:rPr>
            </w:pPr>
            <w:r>
              <w:rPr>
                <w:rFonts w:ascii="Times New Roman" w:hAnsi="Times New Roman"/>
                <w:sz w:val="20"/>
              </w:rPr>
              <w:t>030101</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人力资源管理</w:t>
            </w:r>
          </w:p>
        </w:tc>
        <w:tc>
          <w:tcPr>
            <w:tcW w:w="1185" w:type="dxa"/>
            <w:vAlign w:val="center"/>
          </w:tcPr>
          <w:p>
            <w:pPr>
              <w:jc w:val="center"/>
              <w:rPr>
                <w:rFonts w:ascii="Times New Roman" w:hAnsi="Times New Roman"/>
                <w:sz w:val="20"/>
                <w:szCs w:val="20"/>
              </w:rPr>
            </w:pPr>
            <w:r>
              <w:rPr>
                <w:rFonts w:ascii="Times New Roman" w:hAnsi="Times New Roman"/>
                <w:sz w:val="20"/>
              </w:rPr>
              <w:t>030102</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组织行为学</w:t>
            </w:r>
          </w:p>
        </w:tc>
        <w:tc>
          <w:tcPr>
            <w:tcW w:w="1185" w:type="dxa"/>
            <w:vAlign w:val="center"/>
          </w:tcPr>
          <w:p>
            <w:pPr>
              <w:jc w:val="center"/>
              <w:rPr>
                <w:rFonts w:ascii="Times New Roman" w:hAnsi="Times New Roman"/>
                <w:sz w:val="20"/>
                <w:szCs w:val="20"/>
              </w:rPr>
            </w:pPr>
            <w:r>
              <w:rPr>
                <w:rFonts w:ascii="Times New Roman" w:hAnsi="Times New Roman"/>
                <w:sz w:val="20"/>
              </w:rPr>
              <w:t>030103</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市场营销学</w:t>
            </w:r>
          </w:p>
        </w:tc>
        <w:tc>
          <w:tcPr>
            <w:tcW w:w="1185" w:type="dxa"/>
            <w:vAlign w:val="center"/>
          </w:tcPr>
          <w:p>
            <w:pPr>
              <w:jc w:val="center"/>
              <w:rPr>
                <w:rFonts w:ascii="Times New Roman" w:hAnsi="Times New Roman"/>
                <w:sz w:val="20"/>
                <w:szCs w:val="20"/>
              </w:rPr>
            </w:pPr>
            <w:r>
              <w:rPr>
                <w:rFonts w:ascii="Times New Roman" w:hAnsi="Times New Roman"/>
                <w:sz w:val="20"/>
              </w:rPr>
              <w:t>030127</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财务管理</w:t>
            </w:r>
          </w:p>
        </w:tc>
        <w:tc>
          <w:tcPr>
            <w:tcW w:w="1185" w:type="dxa"/>
            <w:vAlign w:val="center"/>
          </w:tcPr>
          <w:p>
            <w:pPr>
              <w:jc w:val="center"/>
              <w:rPr>
                <w:rFonts w:ascii="Times New Roman" w:hAnsi="Times New Roman"/>
                <w:sz w:val="20"/>
                <w:szCs w:val="20"/>
              </w:rPr>
            </w:pPr>
            <w:r>
              <w:rPr>
                <w:rFonts w:ascii="Times New Roman" w:hAnsi="Times New Roman"/>
                <w:sz w:val="20"/>
              </w:rPr>
              <w:t>030268</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会计学</w:t>
            </w:r>
          </w:p>
        </w:tc>
        <w:tc>
          <w:tcPr>
            <w:tcW w:w="1185" w:type="dxa"/>
            <w:vAlign w:val="center"/>
          </w:tcPr>
          <w:p>
            <w:pPr>
              <w:jc w:val="center"/>
              <w:rPr>
                <w:rFonts w:ascii="Times New Roman" w:hAnsi="Times New Roman"/>
                <w:sz w:val="20"/>
                <w:szCs w:val="20"/>
              </w:rPr>
            </w:pPr>
            <w:r>
              <w:rPr>
                <w:rFonts w:ascii="Times New Roman" w:hAnsi="Times New Roman"/>
                <w:sz w:val="20"/>
              </w:rPr>
              <w:t>030269</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管理决策模型与方法</w:t>
            </w:r>
          </w:p>
        </w:tc>
        <w:tc>
          <w:tcPr>
            <w:tcW w:w="1185" w:type="dxa"/>
            <w:vAlign w:val="center"/>
          </w:tcPr>
          <w:p>
            <w:pPr>
              <w:jc w:val="center"/>
              <w:rPr>
                <w:rFonts w:ascii="Times New Roman" w:hAnsi="Times New Roman"/>
                <w:sz w:val="20"/>
                <w:szCs w:val="20"/>
              </w:rPr>
            </w:pPr>
            <w:r>
              <w:rPr>
                <w:rFonts w:ascii="Times New Roman" w:hAnsi="Times New Roman"/>
                <w:sz w:val="20"/>
              </w:rPr>
              <w:t>030540</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公司治理</w:t>
            </w:r>
          </w:p>
        </w:tc>
        <w:tc>
          <w:tcPr>
            <w:tcW w:w="1185" w:type="dxa"/>
            <w:vAlign w:val="center"/>
          </w:tcPr>
          <w:p>
            <w:pPr>
              <w:jc w:val="center"/>
              <w:rPr>
                <w:rFonts w:ascii="Times New Roman" w:hAnsi="Times New Roman"/>
                <w:sz w:val="20"/>
                <w:szCs w:val="20"/>
              </w:rPr>
            </w:pPr>
            <w:r>
              <w:rPr>
                <w:rFonts w:ascii="Times New Roman" w:hAnsi="Times New Roman"/>
                <w:sz w:val="20"/>
              </w:rPr>
              <w:t>030584</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现代企业形象设计</w:t>
            </w:r>
          </w:p>
        </w:tc>
        <w:tc>
          <w:tcPr>
            <w:tcW w:w="1185" w:type="dxa"/>
            <w:vAlign w:val="center"/>
          </w:tcPr>
          <w:p>
            <w:pPr>
              <w:jc w:val="center"/>
              <w:rPr>
                <w:rFonts w:ascii="Times New Roman" w:hAnsi="Times New Roman"/>
                <w:sz w:val="20"/>
                <w:szCs w:val="20"/>
              </w:rPr>
            </w:pPr>
            <w:r>
              <w:rPr>
                <w:rFonts w:ascii="Times New Roman" w:hAnsi="Times New Roman"/>
                <w:sz w:val="20"/>
              </w:rPr>
              <w:t>030602</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生产运营管理</w:t>
            </w:r>
          </w:p>
        </w:tc>
        <w:tc>
          <w:tcPr>
            <w:tcW w:w="1185" w:type="dxa"/>
            <w:vAlign w:val="center"/>
          </w:tcPr>
          <w:p>
            <w:pPr>
              <w:jc w:val="center"/>
              <w:rPr>
                <w:rFonts w:ascii="Times New Roman" w:hAnsi="Times New Roman"/>
                <w:sz w:val="20"/>
                <w:szCs w:val="20"/>
              </w:rPr>
            </w:pPr>
            <w:r>
              <w:rPr>
                <w:rFonts w:ascii="Times New Roman" w:hAnsi="Times New Roman"/>
                <w:sz w:val="20"/>
              </w:rPr>
              <w:t>031129</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w:t>
            </w:r>
          </w:p>
        </w:tc>
        <w:tc>
          <w:tcPr>
            <w:tcW w:w="1185" w:type="dxa"/>
            <w:vAlign w:val="center"/>
          </w:tcPr>
          <w:p>
            <w:pPr>
              <w:jc w:val="center"/>
              <w:rPr>
                <w:rFonts w:ascii="Times New Roman" w:hAnsi="Times New Roman"/>
                <w:sz w:val="20"/>
                <w:szCs w:val="20"/>
              </w:rPr>
            </w:pPr>
            <w:r>
              <w:rPr>
                <w:rFonts w:ascii="Times New Roman" w:hAnsi="Times New Roman"/>
                <w:sz w:val="20"/>
              </w:rPr>
              <w:t>3</w:t>
            </w:r>
          </w:p>
        </w:tc>
        <w:tc>
          <w:tcPr>
            <w:tcW w:w="1185" w:type="dxa"/>
            <w:vAlign w:val="center"/>
          </w:tcPr>
          <w:p>
            <w:pPr>
              <w:jc w:val="center"/>
              <w:rPr>
                <w:rFonts w:ascii="Times New Roman" w:hAnsi="Times New Roman"/>
                <w:sz w:val="20"/>
                <w:szCs w:val="20"/>
              </w:rPr>
            </w:pPr>
            <w:r>
              <w:rPr>
                <w:rFonts w:ascii="Times New Roman" w:hAnsi="Times New Roman"/>
                <w:sz w:val="20"/>
              </w:rPr>
              <w:t>48</w:t>
            </w:r>
          </w:p>
        </w:tc>
        <w:tc>
          <w:tcPr>
            <w:tcW w:w="1186" w:type="dxa"/>
            <w:vAlign w:val="center"/>
          </w:tcPr>
          <w:p>
            <w:pPr>
              <w:jc w:val="center"/>
              <w:rPr>
                <w:rFonts w:ascii="Times New Roman" w:hAnsi="Times New Roman"/>
                <w:sz w:val="20"/>
                <w:szCs w:val="20"/>
              </w:rPr>
            </w:pPr>
            <w:r>
              <w:rPr>
                <w:rFonts w:ascii="Times New Roman" w:hAnsi="Times New Roman"/>
                <w:sz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质量管理</w:t>
            </w:r>
          </w:p>
        </w:tc>
        <w:tc>
          <w:tcPr>
            <w:tcW w:w="1185" w:type="dxa"/>
            <w:vAlign w:val="center"/>
          </w:tcPr>
          <w:p>
            <w:pPr>
              <w:jc w:val="center"/>
              <w:rPr>
                <w:rFonts w:ascii="Times New Roman" w:hAnsi="Times New Roman"/>
                <w:sz w:val="20"/>
                <w:szCs w:val="20"/>
              </w:rPr>
            </w:pPr>
            <w:r>
              <w:rPr>
                <w:rFonts w:ascii="Times New Roman" w:hAnsi="Times New Roman"/>
                <w:sz w:val="20"/>
              </w:rPr>
              <w:t>031601</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rFonts w:ascii="Times New Roman" w:hAnsi="Times New Roman"/>
                <w:sz w:val="20"/>
                <w:szCs w:val="20"/>
              </w:rPr>
            </w:pPr>
            <w:r>
              <w:rPr>
                <w:rFonts w:ascii="Times New Roman" w:hAnsi="Times New Roman"/>
                <w:sz w:val="20"/>
              </w:rPr>
              <w:t>战略管理</w:t>
            </w:r>
          </w:p>
        </w:tc>
        <w:tc>
          <w:tcPr>
            <w:tcW w:w="1185" w:type="dxa"/>
            <w:vAlign w:val="center"/>
          </w:tcPr>
          <w:p>
            <w:pPr>
              <w:jc w:val="center"/>
              <w:rPr>
                <w:rFonts w:ascii="Times New Roman" w:hAnsi="Times New Roman"/>
                <w:sz w:val="20"/>
                <w:szCs w:val="20"/>
              </w:rPr>
            </w:pPr>
            <w:r>
              <w:rPr>
                <w:rFonts w:ascii="Times New Roman" w:hAnsi="Times New Roman"/>
                <w:sz w:val="20"/>
              </w:rPr>
              <w:t>033903</w:t>
            </w:r>
          </w:p>
        </w:tc>
        <w:tc>
          <w:tcPr>
            <w:tcW w:w="1185" w:type="dxa"/>
            <w:vAlign w:val="center"/>
          </w:tcPr>
          <w:p>
            <w:pPr>
              <w:jc w:val="center"/>
              <w:rPr>
                <w:rFonts w:ascii="Times New Roman" w:hAnsi="Times New Roman"/>
                <w:sz w:val="20"/>
                <w:szCs w:val="20"/>
              </w:rPr>
            </w:pPr>
            <w:r>
              <w:rPr>
                <w:rFonts w:ascii="Times New Roman" w:hAnsi="Times New Roman"/>
                <w:sz w:val="20"/>
              </w:rPr>
              <w:t>理论课</w:t>
            </w:r>
          </w:p>
        </w:tc>
        <w:tc>
          <w:tcPr>
            <w:tcW w:w="1185" w:type="dxa"/>
            <w:vAlign w:val="center"/>
          </w:tcPr>
          <w:p>
            <w:pPr>
              <w:jc w:val="center"/>
              <w:rPr>
                <w:rFonts w:ascii="Times New Roman" w:hAnsi="Times New Roman"/>
                <w:sz w:val="20"/>
                <w:szCs w:val="20"/>
              </w:rPr>
            </w:pPr>
            <w:r>
              <w:rPr>
                <w:rFonts w:ascii="Times New Roman" w:hAnsi="Times New Roman"/>
                <w:sz w:val="20"/>
              </w:rPr>
              <w:t>专业必修课,专业选修课</w:t>
            </w:r>
          </w:p>
        </w:tc>
        <w:tc>
          <w:tcPr>
            <w:tcW w:w="1185" w:type="dxa"/>
            <w:vAlign w:val="center"/>
          </w:tcPr>
          <w:p>
            <w:pPr>
              <w:jc w:val="center"/>
              <w:rPr>
                <w:rFonts w:ascii="Times New Roman" w:hAnsi="Times New Roman"/>
                <w:sz w:val="20"/>
                <w:szCs w:val="20"/>
              </w:rPr>
            </w:pPr>
            <w:r>
              <w:rPr>
                <w:rFonts w:ascii="Times New Roman" w:hAnsi="Times New Roman"/>
                <w:sz w:val="20"/>
              </w:rPr>
              <w:t>2</w:t>
            </w:r>
          </w:p>
        </w:tc>
        <w:tc>
          <w:tcPr>
            <w:tcW w:w="1185" w:type="dxa"/>
            <w:vAlign w:val="center"/>
          </w:tcPr>
          <w:p>
            <w:pPr>
              <w:jc w:val="center"/>
              <w:rPr>
                <w:rFonts w:ascii="Times New Roman" w:hAnsi="Times New Roman"/>
                <w:sz w:val="20"/>
                <w:szCs w:val="20"/>
              </w:rPr>
            </w:pPr>
            <w:r>
              <w:rPr>
                <w:rFonts w:ascii="Times New Roman" w:hAnsi="Times New Roman"/>
                <w:sz w:val="20"/>
              </w:rPr>
              <w:t>32</w:t>
            </w:r>
          </w:p>
        </w:tc>
        <w:tc>
          <w:tcPr>
            <w:tcW w:w="1186" w:type="dxa"/>
            <w:vAlign w:val="center"/>
          </w:tcPr>
          <w:p>
            <w:pPr>
              <w:jc w:val="center"/>
              <w:rPr>
                <w:rFonts w:ascii="Times New Roman" w:hAnsi="Times New Roman"/>
                <w:sz w:val="20"/>
                <w:szCs w:val="20"/>
              </w:rPr>
            </w:pPr>
            <w:r>
              <w:rPr>
                <w:rFonts w:ascii="Times New Roman" w:hAnsi="Times New Roman"/>
                <w:sz w:val="20"/>
              </w:rPr>
              <w:t>56.33</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5-1-1开课情况、表 5-1-2 专业课教学实施情况。</w:t>
      </w:r>
    </w:p>
    <w:p>
      <w:pPr>
        <w:rPr>
          <w:rFonts w:ascii="Times New Roman" w:hAnsi="Times New Roman"/>
        </w:rPr>
      </w:pPr>
    </w:p>
    <w:p>
      <w:pPr>
        <w:pStyle w:val="4"/>
        <w:rPr>
          <w:rFonts w:ascii="Times New Roman" w:hAnsi="Times New Roman" w:eastAsia="宋体"/>
          <w:b w:val="0"/>
          <w:bCs w:val="0"/>
          <w:sz w:val="24"/>
          <w:szCs w:val="24"/>
        </w:rPr>
      </w:pPr>
      <w:bookmarkStart w:id="40" w:name="_Toc159705219"/>
      <w:r>
        <w:rPr>
          <w:rFonts w:ascii="Times New Roman" w:hAnsi="Times New Roman" w:eastAsia="宋体"/>
          <w:b w:val="0"/>
          <w:bCs w:val="0"/>
          <w:sz w:val="24"/>
          <w:szCs w:val="24"/>
        </w:rPr>
        <w:t>3.6实验教学情况</w:t>
      </w:r>
      <w:bookmarkEnd w:id="40"/>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本专业所有开设实验的课程均有完整的实验教学大纲。每学年均参加学院统一组织的教学大纲修订。实验教学大纲、实验指导书等基本教学文件及学生实验报告等教学文档资料，以及指导教师的实习总结等教学文档资料完整齐全。实验教学学分6.62，占总学分的4.16%。</w:t>
      </w:r>
    </w:p>
    <w:p>
      <w:pPr>
        <w:pStyle w:val="36"/>
        <w:spacing w:before="156" w:after="156"/>
        <w:rPr>
          <w:rFonts w:hint="eastAsia"/>
        </w:rPr>
      </w:pPr>
      <w:r>
        <w:t>表</w:t>
      </w:r>
      <w:r>
        <w:rPr>
          <w:rFonts w:hint="eastAsia"/>
        </w:rPr>
        <w:t>8</w:t>
      </w:r>
      <w:r>
        <w:t xml:space="preserve"> </w:t>
      </w:r>
      <w:r>
        <w:rPr>
          <w:rFonts w:hint="eastAsia"/>
        </w:rPr>
        <w:t>工商管理</w:t>
      </w:r>
      <w:r>
        <w:t>专业</w:t>
      </w:r>
      <w:r>
        <w:rPr>
          <w:rFonts w:hint="eastAsia"/>
        </w:rPr>
        <w:t>实验教学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4148" w:type="dxa"/>
            <w:vAlign w:val="center"/>
          </w:tcPr>
          <w:p>
            <w:pPr>
              <w:jc w:val="center"/>
              <w:rPr>
                <w:rFonts w:ascii="Times New Roman" w:hAnsi="Times New Roman"/>
                <w:sz w:val="21"/>
                <w:szCs w:val="21"/>
              </w:rPr>
            </w:pPr>
            <w:r>
              <w:rPr>
                <w:rFonts w:hint="eastAsia" w:ascii="Times New Roman" w:hAnsi="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实验教学学分</w:t>
            </w:r>
          </w:p>
        </w:tc>
        <w:tc>
          <w:tcPr>
            <w:tcW w:w="4148" w:type="dxa"/>
            <w:vAlign w:val="center"/>
          </w:tcPr>
          <w:p>
            <w:pPr>
              <w:jc w:val="center"/>
              <w:rPr>
                <w:rFonts w:ascii="Times New Roman" w:hAnsi="Times New Roman"/>
                <w:sz w:val="21"/>
                <w:szCs w:val="21"/>
              </w:rPr>
            </w:pPr>
            <w:r>
              <w:rPr>
                <w:rFonts w:ascii="Times New Roman" w:hAnsi="Times New Roman" w:cs="Noto Sans Mono CJK JP Regular"/>
                <w:sz w:val="21"/>
                <w:szCs w:val="21"/>
              </w:rPr>
              <w:t>6.62</w:t>
            </w:r>
            <w:bookmarkStart w:id="41" w:name="OLE_LINK18"/>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占总学分（％）</w:t>
            </w:r>
          </w:p>
        </w:tc>
        <w:tc>
          <w:tcPr>
            <w:tcW w:w="4148" w:type="dxa"/>
            <w:vAlign w:val="center"/>
          </w:tcPr>
          <w:p>
            <w:pPr>
              <w:jc w:val="center"/>
              <w:rPr>
                <w:rFonts w:ascii="Times New Roman" w:hAnsi="Times New Roman"/>
                <w:sz w:val="21"/>
                <w:szCs w:val="21"/>
              </w:rPr>
            </w:pPr>
            <w:r>
              <w:rPr>
                <w:rFonts w:ascii="Times New Roman" w:hAnsi="Times New Roman" w:cs="Noto Sans Mono CJK JP Regular"/>
                <w:sz w:val="21"/>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学年内开设实验课门数</w:t>
            </w:r>
          </w:p>
        </w:tc>
        <w:tc>
          <w:tcPr>
            <w:tcW w:w="4148" w:type="dxa"/>
            <w:vAlign w:val="center"/>
          </w:tcPr>
          <w:p>
            <w:pPr>
              <w:jc w:val="center"/>
              <w:rPr>
                <w:rFonts w:ascii="Times New Roman" w:hAnsi="Times New Roman"/>
                <w:sz w:val="21"/>
                <w:szCs w:val="21"/>
              </w:rPr>
            </w:pPr>
            <w:r>
              <w:rPr>
                <w:rFonts w:ascii="Times New Roman" w:hAnsi="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实验课程平均课堂规模</w:t>
            </w:r>
          </w:p>
        </w:tc>
        <w:tc>
          <w:tcPr>
            <w:tcW w:w="4148" w:type="dxa"/>
            <w:vAlign w:val="center"/>
          </w:tcPr>
          <w:p>
            <w:pPr>
              <w:jc w:val="center"/>
              <w:rPr>
                <w:rFonts w:ascii="Times New Roman" w:hAnsi="Times New Roman"/>
                <w:sz w:val="21"/>
                <w:szCs w:val="21"/>
              </w:rPr>
            </w:pPr>
            <w:r>
              <w:rPr>
                <w:rFonts w:ascii="Times New Roman" w:hAnsi="Times New Roman"/>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专业实验教学仪器设备值</w:t>
            </w:r>
          </w:p>
        </w:tc>
        <w:tc>
          <w:tcPr>
            <w:tcW w:w="4148" w:type="dxa"/>
            <w:vAlign w:val="center"/>
          </w:tcPr>
          <w:p>
            <w:pPr>
              <w:jc w:val="center"/>
              <w:rPr>
                <w:rFonts w:ascii="Times New Roman" w:hAnsi="Times New Roman"/>
                <w:sz w:val="21"/>
                <w:szCs w:val="21"/>
              </w:rPr>
            </w:pPr>
            <w:r>
              <w:rPr>
                <w:rFonts w:ascii="Times New Roman" w:hAnsi="Times New Roman"/>
                <w:sz w:val="21"/>
                <w:szCs w:val="21"/>
              </w:rPr>
              <w:t>818952</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4-2 专业培养计划表</w:t>
      </w:r>
      <w:r>
        <w:rPr>
          <w:rFonts w:hint="eastAsia" w:ascii="Times New Roman" w:hAnsi="Times New Roman"/>
        </w:rPr>
        <w:t>、表</w:t>
      </w:r>
      <w:r>
        <w:rPr>
          <w:rFonts w:ascii="Times New Roman" w:hAnsi="Times New Roman"/>
        </w:rPr>
        <w:t xml:space="preserve"> 5-1-1开课情况、表 5-1-2 专业课教学实施情况</w:t>
      </w:r>
      <w:r>
        <w:rPr>
          <w:rFonts w:hint="eastAsia" w:ascii="Times New Roman" w:hAnsi="Times New Roman"/>
        </w:rPr>
        <w:t>、表</w:t>
      </w:r>
      <w:r>
        <w:rPr>
          <w:rFonts w:ascii="Times New Roman" w:hAnsi="Times New Roman"/>
        </w:rPr>
        <w:t xml:space="preserve"> 5-1-3 分专业（大类）专业实验课情况</w:t>
      </w:r>
    </w:p>
    <w:p>
      <w:pPr>
        <w:rPr>
          <w:rFonts w:ascii="Times New Roman" w:hAnsi="Times New Roman"/>
        </w:rPr>
      </w:pPr>
    </w:p>
    <w:p>
      <w:pPr>
        <w:pStyle w:val="4"/>
        <w:rPr>
          <w:rFonts w:ascii="Times New Roman" w:hAnsi="Times New Roman" w:eastAsia="宋体"/>
          <w:b w:val="0"/>
          <w:bCs w:val="0"/>
          <w:sz w:val="24"/>
          <w:szCs w:val="24"/>
        </w:rPr>
      </w:pPr>
      <w:bookmarkStart w:id="42" w:name="_Toc159705220"/>
      <w:r>
        <w:rPr>
          <w:rFonts w:ascii="Times New Roman" w:hAnsi="Times New Roman" w:eastAsia="宋体"/>
          <w:b w:val="0"/>
          <w:bCs w:val="0"/>
          <w:sz w:val="24"/>
          <w:szCs w:val="24"/>
        </w:rPr>
        <w:t>3.7</w:t>
      </w:r>
      <w:r>
        <w:rPr>
          <w:rFonts w:hint="eastAsia" w:ascii="Times New Roman" w:hAnsi="Times New Roman" w:eastAsia="宋体"/>
          <w:b w:val="0"/>
          <w:bCs w:val="0"/>
          <w:sz w:val="24"/>
          <w:szCs w:val="24"/>
        </w:rPr>
        <w:t>实践教学情况</w:t>
      </w:r>
      <w:bookmarkEnd w:id="42"/>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实践类课程建设和开设情况</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本专业开设了超过</w:t>
      </w:r>
      <w:r>
        <w:rPr>
          <w:rFonts w:ascii="Times New Roman" w:hAnsi="Times New Roman" w:cs="Times New Roman"/>
          <w:szCs w:val="28"/>
        </w:rPr>
        <w:t>80%的综合性与设计性的实验课程。建成稳定的</w:t>
      </w:r>
      <w:r>
        <w:rPr>
          <w:rFonts w:hint="eastAsia" w:ascii="Times New Roman" w:hAnsi="Times New Roman" w:cs="Times New Roman"/>
          <w:szCs w:val="28"/>
        </w:rPr>
        <w:t>校外</w:t>
      </w:r>
      <w:r>
        <w:rPr>
          <w:rFonts w:ascii="Times New Roman" w:hAnsi="Times New Roman" w:cs="Times New Roman"/>
          <w:szCs w:val="28"/>
        </w:rPr>
        <w:t>实习基地，确保学生专业实践与实习的需要。在见习、实习管理上，实行“基地双重管理，实训双重指导”，系部与学院共同管理学生，学院、实习单位双方各指定一名指导老师，保障实习见习工作按计划开展。</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毕业论文情况</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本专业毕业论文选题</w:t>
      </w:r>
      <w:r>
        <w:rPr>
          <w:rFonts w:ascii="Times New Roman" w:hAnsi="Times New Roman" w:cs="Times New Roman"/>
          <w:szCs w:val="28"/>
        </w:rPr>
        <w:t>100%来源于生产实际或社会热点问题研究项目，选题经过</w:t>
      </w:r>
      <w:r>
        <w:rPr>
          <w:rFonts w:hint="eastAsia" w:ascii="Times New Roman" w:hAnsi="Times New Roman" w:cs="Times New Roman"/>
          <w:szCs w:val="28"/>
        </w:rPr>
        <w:t>校、院、系三级</w:t>
      </w:r>
      <w:r>
        <w:rPr>
          <w:rFonts w:ascii="Times New Roman" w:hAnsi="Times New Roman" w:cs="Times New Roman"/>
          <w:szCs w:val="28"/>
        </w:rPr>
        <w:t>严格把关，合格率为百分之百，体现综合训练要求，难度、工作量适当。</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工商管理专业教师指导毕业论文学生人数一般为教授和副教授</w:t>
      </w:r>
      <w:r>
        <w:rPr>
          <w:rFonts w:ascii="Times New Roman" w:hAnsi="Times New Roman" w:cs="Times New Roman"/>
          <w:szCs w:val="28"/>
        </w:rPr>
        <w:t>6到8人，讲师4到5人。本专业严格要求指导教师每周至少与学生交流1次以上，并要求学生记录与教师交流。</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在毕业论文整个过程中，学院、学校分别会对论文指导情况进行初期、中期及后期检查，以保证论文带教质量。在本科毕业论文管理中，所有本科生毕业论文通过相似性检验后才可答辩，</w:t>
      </w:r>
      <w:r>
        <w:rPr>
          <w:rFonts w:ascii="Times New Roman" w:hAnsi="Times New Roman" w:cs="Times New Roman"/>
          <w:szCs w:val="28"/>
        </w:rPr>
        <w:t>100%的毕业设计（论文）质量基本合格。</w:t>
      </w:r>
    </w:p>
    <w:p>
      <w:pPr>
        <w:rPr>
          <w:rFonts w:hint="eastAsia" w:ascii="Times New Roman" w:hAnsi="Times New Roman"/>
        </w:rPr>
      </w:pPr>
    </w:p>
    <w:p>
      <w:pPr>
        <w:pStyle w:val="4"/>
        <w:rPr>
          <w:rFonts w:ascii="Times New Roman" w:hAnsi="Times New Roman" w:eastAsia="宋体"/>
          <w:b w:val="0"/>
          <w:bCs w:val="0"/>
          <w:sz w:val="24"/>
          <w:szCs w:val="24"/>
        </w:rPr>
      </w:pPr>
      <w:bookmarkStart w:id="43" w:name="_Toc159705221"/>
      <w:r>
        <w:rPr>
          <w:rFonts w:ascii="Times New Roman" w:hAnsi="Times New Roman" w:eastAsia="宋体"/>
          <w:b w:val="0"/>
          <w:bCs w:val="0"/>
          <w:sz w:val="24"/>
          <w:szCs w:val="24"/>
        </w:rPr>
        <w:t>3.8</w:t>
      </w:r>
      <w:r>
        <w:rPr>
          <w:rFonts w:hint="eastAsia" w:ascii="Times New Roman" w:hAnsi="Times New Roman" w:eastAsia="宋体"/>
          <w:b w:val="0"/>
          <w:bCs w:val="0"/>
          <w:sz w:val="24"/>
          <w:szCs w:val="24"/>
        </w:rPr>
        <w:t>创新创业教育</w:t>
      </w:r>
      <w:bookmarkEnd w:id="43"/>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本专业目前开设创新创业训练课程</w:t>
      </w:r>
      <w:r>
        <w:rPr>
          <w:rFonts w:ascii="Times New Roman" w:hAnsi="Times New Roman" w:cs="Times New Roman"/>
          <w:szCs w:val="28"/>
        </w:rPr>
        <w:t>2门，其中创新实践课程1门。</w:t>
      </w:r>
      <w:r>
        <w:rPr>
          <w:rFonts w:hint="eastAsia" w:ascii="Times New Roman" w:hAnsi="Times New Roman" w:cs="Times New Roman"/>
          <w:szCs w:val="28"/>
        </w:rPr>
        <w:t>其中，</w:t>
      </w:r>
      <w:r>
        <w:rPr>
          <w:rFonts w:ascii="Times New Roman" w:hAnsi="Times New Roman" w:cs="Times New Roman"/>
          <w:szCs w:val="28"/>
        </w:rPr>
        <w:t>王晓静老师在本学年连续两个学期开设创新创业第二课堂课程“区块链思维”。</w:t>
      </w:r>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本专业教师积极指导大学生参加各类创新项目、创业实践计划项目。面向全校开设多门通识课程，例如，黄炜老师开设“上海话入门与研修”、“市场营销新思维”，王晓静老师开设“区块链与未来的生活”等。</w:t>
      </w:r>
    </w:p>
    <w:p>
      <w:pPr>
        <w:pStyle w:val="36"/>
        <w:spacing w:before="156" w:after="156"/>
      </w:pPr>
      <w:r>
        <w:rPr>
          <w:rFonts w:hint="eastAsia"/>
        </w:rPr>
        <w:t>表9 创新创业训练课程</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38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389" w:type="dxa"/>
            <w:shd w:val="clear" w:color="auto" w:fill="auto"/>
            <w:tcMar>
              <w:top w:w="15" w:type="dxa"/>
              <w:left w:w="15" w:type="dxa"/>
              <w:right w:w="15" w:type="dxa"/>
            </w:tcMar>
            <w:vAlign w:val="center"/>
          </w:tcPr>
          <w:p>
            <w:pPr>
              <w:jc w:val="center"/>
              <w:textAlignment w:val="center"/>
              <w:rPr>
                <w:rFonts w:ascii="Times New Roman" w:hAnsi="Times New Roman" w:cs="Times New Roman"/>
                <w:sz w:val="21"/>
                <w:szCs w:val="21"/>
              </w:rPr>
            </w:pPr>
            <w:r>
              <w:rPr>
                <w:rFonts w:ascii="Times New Roman" w:hAnsi="Times New Roman" w:cs="Times New Roman"/>
                <w:sz w:val="21"/>
                <w:szCs w:val="21"/>
              </w:rPr>
              <w:t>序号</w:t>
            </w:r>
          </w:p>
        </w:tc>
        <w:tc>
          <w:tcPr>
            <w:tcW w:w="3851" w:type="dxa"/>
            <w:shd w:val="clear" w:color="auto" w:fill="auto"/>
            <w:tcMar>
              <w:top w:w="15" w:type="dxa"/>
              <w:left w:w="15" w:type="dxa"/>
              <w:right w:w="15" w:type="dxa"/>
            </w:tcMar>
            <w:vAlign w:val="center"/>
          </w:tcPr>
          <w:p>
            <w:pPr>
              <w:jc w:val="center"/>
              <w:textAlignment w:val="center"/>
              <w:rPr>
                <w:rFonts w:ascii="Times New Roman" w:hAnsi="Times New Roman" w:cs="Times New Roman"/>
                <w:sz w:val="21"/>
                <w:szCs w:val="21"/>
              </w:rPr>
            </w:pPr>
            <w:r>
              <w:rPr>
                <w:rFonts w:ascii="Times New Roman" w:hAnsi="Times New Roman" w:cs="Times New Roman"/>
                <w:sz w:val="21"/>
                <w:szCs w:val="21"/>
              </w:rPr>
              <w:t>课程名称</w:t>
            </w:r>
          </w:p>
        </w:tc>
        <w:tc>
          <w:tcPr>
            <w:tcW w:w="2977" w:type="dxa"/>
            <w:shd w:val="clear" w:color="auto" w:fill="auto"/>
            <w:tcMar>
              <w:top w:w="15" w:type="dxa"/>
              <w:left w:w="15" w:type="dxa"/>
              <w:right w:w="15" w:type="dxa"/>
            </w:tcMar>
            <w:vAlign w:val="center"/>
          </w:tcPr>
          <w:p>
            <w:pPr>
              <w:jc w:val="center"/>
              <w:textAlignment w:val="center"/>
              <w:rPr>
                <w:rFonts w:ascii="Times New Roman" w:hAnsi="Times New Roman" w:cs="Times New Roman"/>
                <w:sz w:val="21"/>
                <w:szCs w:val="21"/>
              </w:rPr>
            </w:pPr>
            <w:r>
              <w:rPr>
                <w:rFonts w:ascii="Times New Roman" w:hAnsi="Times New Roman" w:cs="Times New Roman"/>
                <w:sz w:val="21"/>
                <w:szCs w:val="21"/>
              </w:rPr>
              <w:t>开课教师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jc w:val="center"/>
              <w:textAlignment w:val="center"/>
              <w:rPr>
                <w:rFonts w:ascii="Times New Roman" w:hAnsi="Times New Roman" w:cs="Times New Roman"/>
                <w:sz w:val="21"/>
                <w:szCs w:val="21"/>
              </w:rPr>
            </w:pPr>
            <w:r>
              <w:rPr>
                <w:rFonts w:ascii="Times New Roman" w:hAnsi="Times New Roman" w:cs="Times New Roman"/>
                <w:sz w:val="21"/>
                <w:szCs w:val="21"/>
              </w:rPr>
              <w:t>1</w:t>
            </w:r>
          </w:p>
        </w:tc>
        <w:tc>
          <w:tcPr>
            <w:tcW w:w="3851" w:type="dxa"/>
            <w:tcMar>
              <w:top w:w="15" w:type="dxa"/>
              <w:left w:w="15" w:type="dxa"/>
              <w:right w:w="15" w:type="dxa"/>
            </w:tcMar>
            <w:vAlign w:val="center"/>
          </w:tcPr>
          <w:p>
            <w:pPr>
              <w:jc w:val="center"/>
              <w:textAlignment w:val="center"/>
              <w:rPr>
                <w:rFonts w:hint="eastAsia" w:ascii="Times New Roman" w:hAnsi="Times New Roman" w:cs="Times New Roman"/>
                <w:sz w:val="21"/>
                <w:szCs w:val="21"/>
              </w:rPr>
            </w:pPr>
            <w:r>
              <w:rPr>
                <w:rFonts w:hint="eastAsia" w:ascii="Times New Roman" w:hAnsi="Times New Roman" w:cs="Times New Roman"/>
                <w:sz w:val="21"/>
                <w:szCs w:val="21"/>
              </w:rPr>
              <w:t>区块链思维</w:t>
            </w:r>
          </w:p>
        </w:tc>
        <w:tc>
          <w:tcPr>
            <w:tcW w:w="2977" w:type="dxa"/>
            <w:tcMar>
              <w:top w:w="15" w:type="dxa"/>
              <w:left w:w="15" w:type="dxa"/>
              <w:right w:w="15" w:type="dxa"/>
            </w:tcMar>
            <w:vAlign w:val="center"/>
          </w:tcPr>
          <w:p>
            <w:pPr>
              <w:jc w:val="center"/>
              <w:textAlignment w:val="center"/>
              <w:rPr>
                <w:rFonts w:hint="eastAsia" w:ascii="Times New Roman" w:hAnsi="Times New Roman" w:cs="Times New Roman"/>
                <w:sz w:val="21"/>
                <w:szCs w:val="21"/>
              </w:rPr>
            </w:pPr>
            <w:r>
              <w:rPr>
                <w:rFonts w:hint="eastAsia" w:ascii="Times New Roman" w:hAnsi="Times New Roman" w:cs="Times New Roman"/>
                <w:sz w:val="21"/>
                <w:szCs w:val="21"/>
              </w:rPr>
              <w:t>王晓静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89" w:type="dxa"/>
            <w:tcMar>
              <w:top w:w="15" w:type="dxa"/>
              <w:left w:w="15" w:type="dxa"/>
              <w:right w:w="15" w:type="dxa"/>
            </w:tcMar>
            <w:vAlign w:val="center"/>
          </w:tcPr>
          <w:p>
            <w:pPr>
              <w:jc w:val="center"/>
              <w:textAlignment w:val="center"/>
              <w:rPr>
                <w:rFonts w:ascii="Times New Roman" w:hAnsi="Times New Roman" w:cs="Times New Roman"/>
                <w:sz w:val="21"/>
                <w:szCs w:val="21"/>
              </w:rPr>
            </w:pPr>
            <w:r>
              <w:rPr>
                <w:rFonts w:ascii="Times New Roman" w:hAnsi="Times New Roman" w:cs="Times New Roman"/>
                <w:sz w:val="21"/>
                <w:szCs w:val="21"/>
              </w:rPr>
              <w:t>2</w:t>
            </w:r>
          </w:p>
        </w:tc>
        <w:tc>
          <w:tcPr>
            <w:tcW w:w="3851" w:type="dxa"/>
            <w:tcMar>
              <w:top w:w="15" w:type="dxa"/>
              <w:left w:w="15" w:type="dxa"/>
              <w:right w:w="15" w:type="dxa"/>
            </w:tcMar>
            <w:vAlign w:val="center"/>
          </w:tcPr>
          <w:p>
            <w:pPr>
              <w:jc w:val="center"/>
              <w:textAlignment w:val="center"/>
              <w:rPr>
                <w:rFonts w:hint="eastAsia" w:ascii="Times New Roman" w:hAnsi="Times New Roman" w:cs="Times New Roman"/>
                <w:sz w:val="21"/>
                <w:szCs w:val="21"/>
              </w:rPr>
            </w:pPr>
            <w:r>
              <w:rPr>
                <w:rFonts w:hint="eastAsia" w:ascii="Times New Roman" w:hAnsi="Times New Roman" w:cs="Times New Roman"/>
                <w:sz w:val="21"/>
                <w:szCs w:val="21"/>
              </w:rPr>
              <w:t>区块链与未来生活</w:t>
            </w:r>
          </w:p>
        </w:tc>
        <w:tc>
          <w:tcPr>
            <w:tcW w:w="2977" w:type="dxa"/>
            <w:tcMar>
              <w:top w:w="15" w:type="dxa"/>
              <w:left w:w="15" w:type="dxa"/>
              <w:right w:w="15" w:type="dxa"/>
            </w:tcMar>
            <w:vAlign w:val="center"/>
          </w:tcPr>
          <w:p>
            <w:pPr>
              <w:jc w:val="center"/>
              <w:textAlignment w:val="center"/>
              <w:rPr>
                <w:rFonts w:hint="eastAsia" w:ascii="Times New Roman" w:hAnsi="Times New Roman" w:cs="Times New Roman"/>
                <w:sz w:val="21"/>
                <w:szCs w:val="21"/>
              </w:rPr>
            </w:pPr>
            <w:r>
              <w:rPr>
                <w:rFonts w:hint="eastAsia" w:ascii="Times New Roman" w:hAnsi="Times New Roman" w:cs="Times New Roman"/>
                <w:sz w:val="21"/>
                <w:szCs w:val="21"/>
              </w:rPr>
              <w:t>王晓静</w:t>
            </w:r>
          </w:p>
        </w:tc>
      </w:tr>
    </w:tbl>
    <w:p>
      <w:pPr>
        <w:adjustRightInd w:val="0"/>
        <w:snapToGrid w:val="0"/>
        <w:spacing w:line="400" w:lineRule="exact"/>
        <w:ind w:firstLine="415" w:firstLineChars="198"/>
        <w:jc w:val="center"/>
        <w:rPr>
          <w:rFonts w:ascii="Times New Roman" w:hAnsi="Times New Roman" w:cs="Times New Roman"/>
          <w:color w:val="FF0000"/>
          <w:sz w:val="21"/>
          <w:szCs w:val="21"/>
        </w:rPr>
      </w:pPr>
      <w:bookmarkStart w:id="44" w:name="_Hlk103242696"/>
    </w:p>
    <w:p>
      <w:pPr>
        <w:adjustRightInd w:val="0"/>
        <w:snapToGrid w:val="0"/>
        <w:spacing w:line="400" w:lineRule="exact"/>
        <w:ind w:firstLine="477" w:firstLineChars="198"/>
        <w:jc w:val="center"/>
        <w:rPr>
          <w:rFonts w:ascii="Times New Roman" w:hAnsi="Times New Roman"/>
          <w:b/>
          <w:bCs/>
          <w:color w:val="FF0000"/>
        </w:rPr>
      </w:pPr>
    </w:p>
    <w:p>
      <w:pPr>
        <w:pStyle w:val="36"/>
        <w:spacing w:before="156" w:after="156"/>
      </w:pPr>
      <w:r>
        <w:rPr>
          <w:rFonts w:hint="eastAsia"/>
        </w:rPr>
        <w:t>表1</w:t>
      </w:r>
      <w:r>
        <w:t>0</w:t>
      </w:r>
      <w:r>
        <w:rPr>
          <w:rFonts w:hint="eastAsia"/>
        </w:rPr>
        <w:t xml:space="preserve"> 指导创新创业项目及学科竞赛获奖</w:t>
      </w:r>
    </w:p>
    <w:bookmarkEnd w:id="44"/>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4518"/>
        <w:gridCol w:w="1115"/>
        <w:gridCol w:w="92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bookmarkStart w:id="45" w:name="_Hlk103198134"/>
            <w:r>
              <w:rPr>
                <w:rFonts w:ascii="Times New Roman" w:hAnsi="Times New Roman"/>
                <w:sz w:val="21"/>
                <w:szCs w:val="21"/>
              </w:rPr>
              <w:t>序号</w:t>
            </w:r>
          </w:p>
        </w:tc>
        <w:tc>
          <w:tcPr>
            <w:tcW w:w="2710"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竞赛名称</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ascii="Times New Roman" w:hAnsi="Times New Roman"/>
                <w:sz w:val="21"/>
                <w:szCs w:val="21"/>
              </w:rPr>
              <w:t>项目</w:t>
            </w:r>
            <w:r>
              <w:rPr>
                <w:rFonts w:hint="eastAsia" w:ascii="Times New Roman" w:hAnsi="Times New Roman"/>
                <w:sz w:val="21"/>
                <w:szCs w:val="21"/>
              </w:rPr>
              <w:t>级别</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ascii="Times New Roman" w:hAnsi="Times New Roman"/>
                <w:sz w:val="21"/>
                <w:szCs w:val="21"/>
              </w:rPr>
              <w:t>奖项</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ascii="Times New Roman" w:hAnsi="Times New Roman"/>
                <w:sz w:val="21"/>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1</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w:t>
            </w:r>
            <w:r>
              <w:rPr>
                <w:rFonts w:hint="eastAsia" w:ascii="Times New Roman" w:hAnsi="Times New Roman"/>
                <w:sz w:val="21"/>
                <w:szCs w:val="21"/>
              </w:rPr>
              <w:t>年上海市大学生区块链技术应用创新大赛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省级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一等奖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王晓静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2</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023</w:t>
            </w:r>
            <w:r>
              <w:rPr>
                <w:rFonts w:hint="eastAsia" w:ascii="Times New Roman" w:hAnsi="Times New Roman"/>
                <w:sz w:val="21"/>
                <w:szCs w:val="21"/>
              </w:rPr>
              <w:t>年上海市大学生企业经营模拟沙盘大赛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省级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二等奖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宋燕飞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3</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w:t>
            </w:r>
            <w:r>
              <w:rPr>
                <w:rFonts w:hint="eastAsia" w:ascii="Times New Roman" w:hAnsi="Times New Roman"/>
                <w:sz w:val="21"/>
                <w:szCs w:val="21"/>
              </w:rPr>
              <w:t>年上海市大学生企业经营模拟沙盘大赛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省级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二等奖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宋燕飞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4</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第十三届全国大学生电子商务“创新、创意及创业”挑战赛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校级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一</w:t>
            </w:r>
            <w:r>
              <w:rPr>
                <w:rFonts w:ascii="Times New Roman" w:hAnsi="Times New Roman"/>
                <w:sz w:val="21"/>
                <w:szCs w:val="21"/>
              </w:rPr>
              <w:t>等</w:t>
            </w:r>
            <w:r>
              <w:rPr>
                <w:rFonts w:hint="eastAsia" w:ascii="Times New Roman" w:hAnsi="Times New Roman"/>
                <w:sz w:val="21"/>
                <w:szCs w:val="21"/>
              </w:rPr>
              <w:t>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梁鑫、沈世勇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5</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023</w:t>
            </w:r>
            <w:r>
              <w:rPr>
                <w:rFonts w:hint="eastAsia" w:ascii="Times New Roman" w:hAnsi="Times New Roman"/>
                <w:sz w:val="21"/>
                <w:szCs w:val="21"/>
              </w:rPr>
              <w:t>年C</w:t>
            </w:r>
            <w:r>
              <w:rPr>
                <w:rFonts w:ascii="Times New Roman" w:hAnsi="Times New Roman"/>
                <w:sz w:val="21"/>
                <w:szCs w:val="21"/>
              </w:rPr>
              <w:t>MAU</w:t>
            </w:r>
            <w:r>
              <w:rPr>
                <w:rFonts w:hint="eastAsia" w:ascii="Times New Roman" w:hAnsi="Times New Roman"/>
                <w:sz w:val="21"/>
                <w:szCs w:val="21"/>
              </w:rPr>
              <w:t>全国大学生市场研究与商业策划大赛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校级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二等奖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康博宇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6</w:t>
            </w:r>
          </w:p>
        </w:tc>
        <w:tc>
          <w:tcPr>
            <w:tcW w:w="2710"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第十六届全国大学生节能减排社会实践与科技竞赛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校级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二等奖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刘笑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ascii="Times New Roman" w:hAnsi="Times New Roman"/>
                <w:sz w:val="21"/>
                <w:szCs w:val="21"/>
              </w:rPr>
              <w:t>7</w:t>
            </w:r>
          </w:p>
        </w:tc>
        <w:tc>
          <w:tcPr>
            <w:tcW w:w="2710"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第十三届全国大学生电子商务“创新、创意及创业”挑战赛</w:t>
            </w:r>
          </w:p>
        </w:tc>
        <w:tc>
          <w:tcPr>
            <w:tcW w:w="669"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校级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三</w:t>
            </w:r>
            <w:r>
              <w:rPr>
                <w:rFonts w:ascii="Times New Roman" w:hAnsi="Times New Roman"/>
                <w:sz w:val="21"/>
                <w:szCs w:val="21"/>
              </w:rPr>
              <w:t>等奖</w:t>
            </w:r>
          </w:p>
        </w:tc>
        <w:tc>
          <w:tcPr>
            <w:tcW w:w="651" w:type="pct"/>
            <w:shd w:val="clear" w:color="auto" w:fill="auto"/>
            <w:tcMar>
              <w:top w:w="15" w:type="dxa"/>
              <w:left w:w="15" w:type="dxa"/>
              <w:right w:w="15" w:type="dxa"/>
            </w:tcMar>
            <w:vAlign w:val="center"/>
          </w:tcPr>
          <w:p>
            <w:pPr>
              <w:jc w:val="center"/>
              <w:textAlignment w:val="center"/>
              <w:rPr>
                <w:rFonts w:hint="eastAsia" w:ascii="Times New Roman" w:hAnsi="Times New Roman"/>
                <w:sz w:val="21"/>
                <w:szCs w:val="21"/>
              </w:rPr>
            </w:pPr>
            <w:r>
              <w:rPr>
                <w:rFonts w:hint="eastAsia" w:ascii="Times New Roman" w:hAnsi="Times New Roman"/>
                <w:sz w:val="21"/>
                <w:szCs w:val="21"/>
              </w:rPr>
              <w:t>刘笑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16"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8</w:t>
            </w:r>
          </w:p>
        </w:tc>
        <w:tc>
          <w:tcPr>
            <w:tcW w:w="2710"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第十三届全国大学生电子商务“创新、创意及创业”挑战赛</w:t>
            </w:r>
          </w:p>
        </w:tc>
        <w:tc>
          <w:tcPr>
            <w:tcW w:w="669"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校级</w:t>
            </w:r>
          </w:p>
        </w:tc>
        <w:tc>
          <w:tcPr>
            <w:tcW w:w="554"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三</w:t>
            </w:r>
            <w:r>
              <w:rPr>
                <w:rFonts w:ascii="Times New Roman" w:hAnsi="Times New Roman"/>
                <w:sz w:val="21"/>
                <w:szCs w:val="21"/>
              </w:rPr>
              <w:t>等奖</w:t>
            </w:r>
          </w:p>
        </w:tc>
        <w:tc>
          <w:tcPr>
            <w:tcW w:w="651" w:type="pct"/>
            <w:shd w:val="clear" w:color="auto" w:fill="auto"/>
            <w:tcMar>
              <w:top w:w="15" w:type="dxa"/>
              <w:left w:w="15" w:type="dxa"/>
              <w:right w:w="15" w:type="dxa"/>
            </w:tcMar>
            <w:vAlign w:val="center"/>
          </w:tcPr>
          <w:p>
            <w:pPr>
              <w:jc w:val="center"/>
              <w:textAlignment w:val="center"/>
              <w:rPr>
                <w:rFonts w:ascii="Times New Roman" w:hAnsi="Times New Roman"/>
                <w:sz w:val="21"/>
                <w:szCs w:val="21"/>
              </w:rPr>
            </w:pPr>
            <w:r>
              <w:rPr>
                <w:rFonts w:hint="eastAsia" w:ascii="Times New Roman" w:hAnsi="Times New Roman"/>
                <w:sz w:val="21"/>
                <w:szCs w:val="21"/>
              </w:rPr>
              <w:t>刘笑</w:t>
            </w:r>
          </w:p>
        </w:tc>
      </w:tr>
      <w:bookmarkEnd w:id="45"/>
    </w:tbl>
    <w:p>
      <w:pPr>
        <w:rPr>
          <w:rFonts w:ascii="Times New Roman" w:hAnsi="Times New Roman"/>
        </w:rPr>
      </w:pPr>
    </w:p>
    <w:p>
      <w:pPr>
        <w:pStyle w:val="4"/>
        <w:rPr>
          <w:rFonts w:ascii="Times New Roman" w:hAnsi="Times New Roman" w:eastAsia="宋体"/>
          <w:b w:val="0"/>
          <w:bCs w:val="0"/>
          <w:sz w:val="24"/>
          <w:szCs w:val="24"/>
        </w:rPr>
      </w:pPr>
      <w:bookmarkStart w:id="46" w:name="_Toc159705222"/>
      <w:r>
        <w:rPr>
          <w:rFonts w:ascii="Times New Roman" w:hAnsi="Times New Roman" w:eastAsia="宋体"/>
          <w:b w:val="0"/>
          <w:bCs w:val="0"/>
          <w:sz w:val="24"/>
          <w:szCs w:val="24"/>
        </w:rPr>
        <w:t>3.9学生毕业综合训练情况</w:t>
      </w:r>
      <w:bookmarkEnd w:id="46"/>
    </w:p>
    <w:p>
      <w:pPr>
        <w:spacing w:line="360" w:lineRule="auto"/>
        <w:ind w:firstLine="480" w:firstLineChars="200"/>
        <w:jc w:val="both"/>
        <w:rPr>
          <w:rFonts w:ascii="Times New Roman" w:hAnsi="Times New Roman" w:cs="Times New Roman"/>
          <w:color w:val="FF0000"/>
          <w:szCs w:val="28"/>
        </w:rPr>
      </w:pPr>
      <w:r>
        <w:rPr>
          <w:rFonts w:hint="eastAsia" w:ascii="Times New Roman" w:hAnsi="Times New Roman" w:cs="Times New Roman"/>
          <w:szCs w:val="28"/>
        </w:rPr>
        <w:t>学生毕业综合训练课题共</w:t>
      </w:r>
      <w:r>
        <w:rPr>
          <w:rFonts w:ascii="Times New Roman" w:hAnsi="Times New Roman" w:cs="Times New Roman"/>
          <w:szCs w:val="28"/>
        </w:rPr>
        <w:t>61</w:t>
      </w:r>
      <w:r>
        <w:rPr>
          <w:rFonts w:hint="eastAsia" w:ascii="Times New Roman" w:hAnsi="Times New Roman" w:cs="Times New Roman"/>
          <w:szCs w:val="28"/>
        </w:rPr>
        <w:t>个，其中在实验、实习、社会调查等社会实践中完成数6</w:t>
      </w:r>
      <w:r>
        <w:rPr>
          <w:rFonts w:ascii="Times New Roman" w:hAnsi="Times New Roman" w:cs="Times New Roman"/>
          <w:szCs w:val="28"/>
        </w:rPr>
        <w:t>1</w:t>
      </w:r>
      <w:r>
        <w:rPr>
          <w:rFonts w:hint="eastAsia" w:ascii="Times New Roman" w:hAnsi="Times New Roman" w:cs="Times New Roman"/>
          <w:szCs w:val="28"/>
        </w:rPr>
        <w:t>个，占比100%；指导教师中本专业教师</w:t>
      </w:r>
      <w:r>
        <w:rPr>
          <w:rFonts w:ascii="Times New Roman" w:hAnsi="Times New Roman" w:cs="Times New Roman"/>
          <w:szCs w:val="28"/>
        </w:rPr>
        <w:t>10</w:t>
      </w:r>
      <w:r>
        <w:rPr>
          <w:rFonts w:hint="eastAsia" w:ascii="Times New Roman" w:hAnsi="Times New Roman" w:cs="Times New Roman"/>
          <w:szCs w:val="28"/>
        </w:rPr>
        <w:t>人，外专业教师</w:t>
      </w:r>
      <w:r>
        <w:rPr>
          <w:rFonts w:ascii="Times New Roman" w:hAnsi="Times New Roman" w:cs="Times New Roman"/>
          <w:szCs w:val="28"/>
        </w:rPr>
        <w:t>4</w:t>
      </w:r>
      <w:r>
        <w:rPr>
          <w:rFonts w:hint="eastAsia" w:ascii="Times New Roman" w:hAnsi="Times New Roman" w:cs="Times New Roman"/>
          <w:szCs w:val="28"/>
        </w:rPr>
        <w:t>人，校外教师1人，每名教师平均指导毕业生数4.</w:t>
      </w:r>
      <w:r>
        <w:rPr>
          <w:rFonts w:ascii="Times New Roman" w:hAnsi="Times New Roman" w:cs="Times New Roman"/>
          <w:szCs w:val="28"/>
        </w:rPr>
        <w:t>07</w:t>
      </w:r>
      <w:r>
        <w:rPr>
          <w:rFonts w:hint="eastAsia" w:ascii="Times New Roman" w:hAnsi="Times New Roman" w:cs="Times New Roman"/>
          <w:szCs w:val="28"/>
        </w:rPr>
        <w:t>人。</w:t>
      </w:r>
    </w:p>
    <w:p>
      <w:pPr>
        <w:pStyle w:val="36"/>
        <w:spacing w:before="156" w:after="156"/>
        <w:rPr>
          <w:rFonts w:hint="eastAsia"/>
        </w:rPr>
      </w:pPr>
      <w:r>
        <w:t>表</w:t>
      </w:r>
      <w:r>
        <w:rPr>
          <w:rFonts w:hint="eastAsia"/>
        </w:rPr>
        <w:t>1</w:t>
      </w:r>
      <w:r>
        <w:t xml:space="preserve">1 </w:t>
      </w:r>
      <w:r>
        <w:rPr>
          <w:rFonts w:hint="eastAsia"/>
        </w:rPr>
        <w:t>工商管理</w:t>
      </w:r>
      <w:r>
        <w:t>专业</w:t>
      </w:r>
      <w:r>
        <w:rPr>
          <w:rFonts w:hint="eastAsia"/>
        </w:rPr>
        <w:t>学生毕业综合训练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rFonts w:ascii="Times New Roman" w:hAnsi="Times New Roman"/>
                <w:sz w:val="22"/>
                <w:szCs w:val="22"/>
              </w:rPr>
            </w:pPr>
            <w:r>
              <w:rPr>
                <w:rFonts w:hint="eastAsia" w:ascii="Times New Roman" w:hAnsi="Times New Roman"/>
                <w:sz w:val="22"/>
                <w:szCs w:val="22"/>
              </w:rPr>
              <w:t>项目</w:t>
            </w:r>
          </w:p>
        </w:tc>
        <w:tc>
          <w:tcPr>
            <w:tcW w:w="2347" w:type="dxa"/>
            <w:vAlign w:val="center"/>
          </w:tcPr>
          <w:p>
            <w:pPr>
              <w:jc w:val="center"/>
              <w:rPr>
                <w:rFonts w:ascii="Times New Roman" w:hAnsi="Times New Roman"/>
                <w:sz w:val="22"/>
                <w:szCs w:val="22"/>
              </w:rPr>
            </w:pPr>
            <w:r>
              <w:rPr>
                <w:rFonts w:hint="eastAsia" w:ascii="Times New Roman" w:hAnsi="Times New Roman"/>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rFonts w:ascii="Times New Roman" w:hAnsi="Times New Roman"/>
                <w:sz w:val="22"/>
                <w:szCs w:val="22"/>
              </w:rPr>
            </w:pPr>
            <w:r>
              <w:rPr>
                <w:rFonts w:hint="eastAsia" w:ascii="Times New Roman" w:hAnsi="Times New Roman"/>
                <w:sz w:val="22"/>
                <w:szCs w:val="22"/>
              </w:rPr>
              <w:t>毕业综合训练课题（个）</w:t>
            </w:r>
          </w:p>
        </w:tc>
        <w:tc>
          <w:tcPr>
            <w:tcW w:w="3969" w:type="dxa"/>
            <w:vAlign w:val="center"/>
          </w:tcPr>
          <w:p>
            <w:pPr>
              <w:jc w:val="center"/>
              <w:rPr>
                <w:rFonts w:ascii="Times New Roman" w:hAnsi="Times New Roman"/>
                <w:sz w:val="22"/>
                <w:szCs w:val="22"/>
              </w:rPr>
            </w:pPr>
            <w:r>
              <w:rPr>
                <w:rFonts w:hint="eastAsia" w:ascii="Times New Roman" w:hAnsi="Times New Roman"/>
                <w:sz w:val="22"/>
                <w:szCs w:val="22"/>
              </w:rPr>
              <w:t>总数</w:t>
            </w:r>
          </w:p>
        </w:tc>
        <w:tc>
          <w:tcPr>
            <w:tcW w:w="2347" w:type="dxa"/>
            <w:vAlign w:val="center"/>
          </w:tcPr>
          <w:p>
            <w:pPr>
              <w:jc w:val="center"/>
              <w:rPr>
                <w:rFonts w:ascii="Times New Roman" w:hAnsi="Times New Roman"/>
                <w:sz w:val="22"/>
                <w:szCs w:val="22"/>
              </w:rPr>
            </w:pPr>
            <w:r>
              <w:rPr>
                <w:rFonts w:ascii="Times New Roman" w:hAnsi="Times New Roman"/>
                <w:sz w:val="22"/>
                <w:szCs w:val="2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ascii="Times New Roman" w:hAnsi="Times New Roman"/>
                <w:sz w:val="22"/>
                <w:szCs w:val="22"/>
              </w:rPr>
            </w:pPr>
          </w:p>
        </w:tc>
        <w:tc>
          <w:tcPr>
            <w:tcW w:w="3969" w:type="dxa"/>
            <w:vAlign w:val="center"/>
          </w:tcPr>
          <w:p>
            <w:pPr>
              <w:jc w:val="center"/>
              <w:rPr>
                <w:rFonts w:ascii="Times New Roman" w:hAnsi="Times New Roman"/>
                <w:sz w:val="22"/>
                <w:szCs w:val="22"/>
              </w:rPr>
            </w:pPr>
            <w:r>
              <w:rPr>
                <w:rFonts w:hint="eastAsia" w:ascii="Times New Roman" w:hAnsi="Times New Roman"/>
                <w:sz w:val="22"/>
                <w:szCs w:val="22"/>
              </w:rPr>
              <w:t>其中：在实验、实习、社会调查等社会实践中完成数</w:t>
            </w:r>
          </w:p>
        </w:tc>
        <w:tc>
          <w:tcPr>
            <w:tcW w:w="2347" w:type="dxa"/>
            <w:vAlign w:val="center"/>
          </w:tcPr>
          <w:p>
            <w:pPr>
              <w:jc w:val="center"/>
              <w:rPr>
                <w:rFonts w:ascii="Times New Roman" w:hAnsi="Times New Roman"/>
                <w:sz w:val="22"/>
                <w:szCs w:val="22"/>
              </w:rPr>
            </w:pPr>
            <w:r>
              <w:rPr>
                <w:rFonts w:ascii="Times New Roman" w:hAnsi="Times New Roman"/>
                <w:sz w:val="22"/>
                <w:szCs w:val="22"/>
              </w:rPr>
              <w:t>61</w:t>
            </w:r>
            <w:bookmarkStart w:id="47" w:name="OLE_LINK19"/>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ascii="Times New Roman" w:hAnsi="Times New Roman"/>
                <w:sz w:val="22"/>
                <w:szCs w:val="22"/>
              </w:rPr>
            </w:pPr>
          </w:p>
        </w:tc>
        <w:tc>
          <w:tcPr>
            <w:tcW w:w="3969" w:type="dxa"/>
            <w:vAlign w:val="center"/>
          </w:tcPr>
          <w:p>
            <w:pPr>
              <w:jc w:val="center"/>
              <w:rPr>
                <w:rFonts w:ascii="Times New Roman" w:hAnsi="Times New Roman"/>
                <w:sz w:val="22"/>
                <w:szCs w:val="22"/>
              </w:rPr>
            </w:pPr>
            <w:r>
              <w:rPr>
                <w:rFonts w:hint="eastAsia" w:ascii="Times New Roman" w:hAnsi="Times New Roman"/>
                <w:sz w:val="22"/>
                <w:szCs w:val="22"/>
              </w:rPr>
              <w:t>其中：在实验、实习、社会调查等社会实践中完成比例（</w:t>
            </w:r>
            <w:r>
              <w:rPr>
                <w:rFonts w:ascii="Times New Roman" w:hAnsi="Times New Roman"/>
                <w:sz w:val="22"/>
                <w:szCs w:val="22"/>
              </w:rPr>
              <w:t>%）</w:t>
            </w:r>
          </w:p>
        </w:tc>
        <w:tc>
          <w:tcPr>
            <w:tcW w:w="2347" w:type="dxa"/>
            <w:vAlign w:val="center"/>
          </w:tcPr>
          <w:p>
            <w:pPr>
              <w:jc w:val="center"/>
              <w:rPr>
                <w:rFonts w:ascii="Times New Roman" w:hAnsi="Times New Roman"/>
                <w:sz w:val="22"/>
                <w:szCs w:val="22"/>
              </w:rPr>
            </w:pPr>
            <w:r>
              <w:rPr>
                <w:rFonts w:ascii="Times New Roman" w:hAnsi="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rFonts w:ascii="Times New Roman" w:hAnsi="Times New Roman"/>
                <w:sz w:val="22"/>
                <w:szCs w:val="22"/>
              </w:rPr>
            </w:pPr>
            <w:bookmarkStart w:id="48" w:name="OLE_LINK20"/>
            <w:r>
              <w:rPr>
                <w:rFonts w:hint="eastAsia" w:ascii="Times New Roman" w:hAnsi="Times New Roman"/>
                <w:sz w:val="22"/>
                <w:szCs w:val="22"/>
              </w:rPr>
              <w:t>指导教师数</w:t>
            </w:r>
            <w:bookmarkEnd w:id="48"/>
          </w:p>
        </w:tc>
        <w:tc>
          <w:tcPr>
            <w:tcW w:w="3969" w:type="dxa"/>
            <w:vAlign w:val="center"/>
          </w:tcPr>
          <w:p>
            <w:pPr>
              <w:jc w:val="center"/>
              <w:rPr>
                <w:rFonts w:ascii="Times New Roman" w:hAnsi="Times New Roman"/>
                <w:sz w:val="22"/>
                <w:szCs w:val="22"/>
              </w:rPr>
            </w:pPr>
            <w:r>
              <w:rPr>
                <w:rFonts w:hint="eastAsia" w:ascii="Times New Roman" w:hAnsi="Times New Roman"/>
                <w:sz w:val="22"/>
                <w:szCs w:val="22"/>
              </w:rPr>
              <w:t>本专业教师</w:t>
            </w:r>
          </w:p>
        </w:tc>
        <w:tc>
          <w:tcPr>
            <w:tcW w:w="2347" w:type="dxa"/>
            <w:vAlign w:val="center"/>
          </w:tcPr>
          <w:p>
            <w:pPr>
              <w:jc w:val="center"/>
              <w:rPr>
                <w:rFonts w:ascii="Times New Roman" w:hAnsi="Times New Roman"/>
                <w:sz w:val="22"/>
                <w:szCs w:val="22"/>
              </w:rPr>
            </w:pPr>
            <w:r>
              <w:rPr>
                <w:rFonts w:ascii="Times New Roman" w:hAnsi="Times New Roman"/>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ascii="Times New Roman" w:hAnsi="Times New Roman"/>
                <w:sz w:val="22"/>
                <w:szCs w:val="22"/>
              </w:rPr>
            </w:pPr>
          </w:p>
        </w:tc>
        <w:tc>
          <w:tcPr>
            <w:tcW w:w="3969" w:type="dxa"/>
            <w:vAlign w:val="center"/>
          </w:tcPr>
          <w:p>
            <w:pPr>
              <w:jc w:val="center"/>
              <w:rPr>
                <w:rFonts w:ascii="Times New Roman" w:hAnsi="Times New Roman"/>
                <w:sz w:val="22"/>
                <w:szCs w:val="22"/>
              </w:rPr>
            </w:pPr>
            <w:r>
              <w:rPr>
                <w:rFonts w:hint="eastAsia" w:ascii="Times New Roman" w:hAnsi="Times New Roman"/>
                <w:sz w:val="22"/>
                <w:szCs w:val="22"/>
              </w:rPr>
              <w:t>外专业教师</w:t>
            </w:r>
          </w:p>
        </w:tc>
        <w:tc>
          <w:tcPr>
            <w:tcW w:w="2347" w:type="dxa"/>
            <w:vAlign w:val="center"/>
          </w:tcPr>
          <w:p>
            <w:pPr>
              <w:jc w:val="center"/>
              <w:rPr>
                <w:rFonts w:ascii="Times New Roman" w:hAnsi="Times New Roman"/>
                <w:sz w:val="22"/>
                <w:szCs w:val="22"/>
              </w:rPr>
            </w:pPr>
            <w:r>
              <w:rPr>
                <w:rFonts w:ascii="Times New Roman" w:hAnsi="Times New Roman"/>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rFonts w:ascii="Times New Roman" w:hAnsi="Times New Roman"/>
                <w:sz w:val="22"/>
                <w:szCs w:val="22"/>
              </w:rPr>
            </w:pPr>
          </w:p>
        </w:tc>
        <w:tc>
          <w:tcPr>
            <w:tcW w:w="3969" w:type="dxa"/>
            <w:vAlign w:val="center"/>
          </w:tcPr>
          <w:p>
            <w:pPr>
              <w:jc w:val="center"/>
              <w:rPr>
                <w:rFonts w:ascii="Times New Roman" w:hAnsi="Times New Roman"/>
                <w:sz w:val="22"/>
                <w:szCs w:val="22"/>
              </w:rPr>
            </w:pPr>
            <w:bookmarkStart w:id="49" w:name="OLE_LINK21"/>
            <w:r>
              <w:rPr>
                <w:rFonts w:hint="eastAsia" w:ascii="Times New Roman" w:hAnsi="Times New Roman"/>
                <w:sz w:val="22"/>
                <w:szCs w:val="22"/>
              </w:rPr>
              <w:t>校外指导教师</w:t>
            </w:r>
            <w:bookmarkEnd w:id="49"/>
          </w:p>
        </w:tc>
        <w:tc>
          <w:tcPr>
            <w:tcW w:w="2347" w:type="dxa"/>
            <w:vAlign w:val="center"/>
          </w:tcPr>
          <w:p>
            <w:pPr>
              <w:jc w:val="center"/>
              <w:rPr>
                <w:rFonts w:ascii="Times New Roman" w:hAnsi="Times New Roman"/>
                <w:sz w:val="22"/>
                <w:szCs w:val="22"/>
              </w:rPr>
            </w:pPr>
            <w:r>
              <w:rPr>
                <w:rFonts w:ascii="Times New Roman" w:hAnsi="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rFonts w:ascii="Times New Roman" w:hAnsi="Times New Roman"/>
                <w:sz w:val="22"/>
                <w:szCs w:val="22"/>
              </w:rPr>
            </w:pPr>
            <w:r>
              <w:rPr>
                <w:rFonts w:hint="eastAsia" w:ascii="Times New Roman" w:hAnsi="Times New Roman"/>
                <w:sz w:val="22"/>
                <w:szCs w:val="22"/>
              </w:rPr>
              <w:t>每名教师平均指导毕业生数</w:t>
            </w:r>
          </w:p>
        </w:tc>
        <w:tc>
          <w:tcPr>
            <w:tcW w:w="2347" w:type="dxa"/>
            <w:vAlign w:val="center"/>
          </w:tcPr>
          <w:p>
            <w:pPr>
              <w:jc w:val="center"/>
              <w:rPr>
                <w:rFonts w:ascii="Times New Roman" w:hAnsi="Times New Roman"/>
                <w:sz w:val="22"/>
                <w:szCs w:val="22"/>
              </w:rPr>
            </w:pPr>
            <w:r>
              <w:rPr>
                <w:rFonts w:ascii="Times New Roman" w:hAnsi="Times New Roman"/>
                <w:sz w:val="22"/>
                <w:szCs w:val="22"/>
              </w:rPr>
              <w:t>4.07</w:t>
            </w:r>
          </w:p>
        </w:tc>
      </w:tr>
    </w:tbl>
    <w:p>
      <w:pPr>
        <w:rPr>
          <w:rFonts w:ascii="Times New Roman" w:hAnsi="Times New Roman"/>
        </w:rPr>
      </w:pPr>
    </w:p>
    <w:p>
      <w:pPr>
        <w:rPr>
          <w:rFonts w:ascii="Times New Roman" w:hAnsi="Times New Roman"/>
        </w:rPr>
      </w:pPr>
      <w:r>
        <w:rPr>
          <w:rFonts w:hint="eastAsia" w:ascii="Times New Roman" w:hAnsi="Times New Roman"/>
        </w:rPr>
        <w:t>※以上数据来源：表</w:t>
      </w:r>
      <w:r>
        <w:rPr>
          <w:rFonts w:ascii="Times New Roman" w:hAnsi="Times New Roman"/>
        </w:rPr>
        <w:t xml:space="preserve"> 5-2</w:t>
      </w:r>
      <w:r>
        <w:rPr>
          <w:rFonts w:hint="eastAsia" w:ascii="Times New Roman" w:hAnsi="Times New Roman"/>
        </w:rPr>
        <w:t>学生毕业综合训练情况</w:t>
      </w:r>
    </w:p>
    <w:p>
      <w:pPr>
        <w:rPr>
          <w:rFonts w:hint="eastAsia" w:ascii="Times New Roman" w:hAnsi="Times New Roman"/>
        </w:rPr>
      </w:pPr>
    </w:p>
    <w:p>
      <w:pPr>
        <w:pStyle w:val="4"/>
        <w:rPr>
          <w:rFonts w:ascii="Times New Roman" w:hAnsi="Times New Roman" w:eastAsia="宋体"/>
          <w:b w:val="0"/>
          <w:bCs w:val="0"/>
          <w:sz w:val="24"/>
          <w:szCs w:val="24"/>
        </w:rPr>
      </w:pPr>
      <w:bookmarkStart w:id="50" w:name="_Toc159705223"/>
      <w:r>
        <w:rPr>
          <w:rFonts w:ascii="Times New Roman" w:hAnsi="Times New Roman" w:eastAsia="宋体"/>
          <w:b w:val="0"/>
          <w:bCs w:val="0"/>
          <w:sz w:val="24"/>
          <w:szCs w:val="24"/>
        </w:rPr>
        <w:t>3.10</w:t>
      </w:r>
      <w:r>
        <w:rPr>
          <w:rFonts w:hint="eastAsia" w:ascii="Times New Roman" w:hAnsi="Times New Roman" w:eastAsia="宋体"/>
          <w:b w:val="0"/>
          <w:bCs w:val="0"/>
          <w:sz w:val="24"/>
          <w:szCs w:val="24"/>
        </w:rPr>
        <w:t>教学改革</w:t>
      </w:r>
      <w:bookmarkEnd w:id="50"/>
    </w:p>
    <w:p>
      <w:pPr>
        <w:shd w:val="clear" w:color="auto" w:fill="FFFFFF"/>
        <w:spacing w:line="360" w:lineRule="auto"/>
        <w:ind w:firstLine="480" w:firstLineChars="200"/>
        <w:rPr>
          <w:rFonts w:ascii="Times New Roman" w:hAnsi="Times New Roman"/>
        </w:rPr>
      </w:pPr>
      <w:r>
        <w:rPr>
          <w:rFonts w:ascii="Times New Roman" w:hAnsi="Times New Roman"/>
        </w:rPr>
        <w:t>工商管理专业在本学年通过制定和修订人才培养方案、改革课程设置、改革教学方法等举措，实现对本专业全面的教学改革，有效提升专业教学质量。本学年实施的教学改革措施主要如下：</w:t>
      </w:r>
    </w:p>
    <w:p>
      <w:pPr>
        <w:shd w:val="clear" w:color="auto" w:fill="FFFFFF"/>
        <w:spacing w:line="360" w:lineRule="auto"/>
        <w:ind w:firstLine="480" w:firstLineChars="200"/>
        <w:rPr>
          <w:rFonts w:ascii="Times New Roman" w:hAnsi="Times New Roman"/>
        </w:rPr>
      </w:pPr>
      <w:r>
        <w:rPr>
          <w:rFonts w:ascii="Times New Roman" w:hAnsi="Times New Roman"/>
        </w:rPr>
        <w:t>（1）专业人才培养方案的制定和修订</w:t>
      </w:r>
    </w:p>
    <w:p>
      <w:pPr>
        <w:shd w:val="clear" w:color="auto" w:fill="FFFFFF"/>
        <w:spacing w:line="360" w:lineRule="auto"/>
        <w:ind w:firstLine="480" w:firstLineChars="200"/>
        <w:rPr>
          <w:rFonts w:ascii="Times New Roman" w:hAnsi="Times New Roman"/>
        </w:rPr>
      </w:pPr>
      <w:r>
        <w:rPr>
          <w:rFonts w:hint="eastAsia" w:ascii="Times New Roman" w:hAnsi="Times New Roman"/>
        </w:rPr>
        <w:t>依据相关文件，</w:t>
      </w:r>
      <w:r>
        <w:rPr>
          <w:rFonts w:ascii="Times New Roman" w:hAnsi="Times New Roman"/>
        </w:rPr>
        <w:t>本专业</w:t>
      </w:r>
      <w:r>
        <w:rPr>
          <w:rFonts w:hint="eastAsia" w:ascii="Times New Roman" w:hAnsi="Times New Roman"/>
        </w:rPr>
        <w:t>在</w:t>
      </w:r>
      <w:r>
        <w:rPr>
          <w:rFonts w:ascii="Times New Roman" w:hAnsi="Times New Roman"/>
        </w:rPr>
        <w:t>制定的人才培养方案基础上，进一步结合新文科着重培养复合型人才的思想，同时根据AACSB国际认证中对管理类课程的要求，对工商管理专业培养方案进行修订，从而形成专业培养方案鲜明的自身特色，全面提高人才培养质量，构建与经济社会发展相适应的复合型人才培养体系。根据修订的人才培养方案，教师们积极付诸实践，并结合教学实践申报各类教学成果奖。其中，胡斌教授牵头申报的《共生-共振-聚合-耦合：应用型高校商科人才特色培养模式创新与实践》获得2022年度上海市教学成果奖一等奖。</w:t>
      </w:r>
    </w:p>
    <w:p>
      <w:pPr>
        <w:shd w:val="clear" w:color="auto" w:fill="FFFFFF"/>
        <w:spacing w:line="360" w:lineRule="auto"/>
        <w:ind w:firstLine="480" w:firstLineChars="200"/>
        <w:rPr>
          <w:rFonts w:ascii="Times New Roman" w:hAnsi="Times New Roman"/>
        </w:rPr>
      </w:pPr>
      <w:r>
        <w:rPr>
          <w:rFonts w:ascii="Times New Roman" w:hAnsi="Times New Roman"/>
        </w:rPr>
        <w:t>（2）课程改革</w:t>
      </w:r>
    </w:p>
    <w:p>
      <w:pPr>
        <w:shd w:val="clear" w:color="auto" w:fill="FFFFFF"/>
        <w:spacing w:line="360" w:lineRule="auto"/>
        <w:ind w:firstLine="480" w:firstLineChars="200"/>
        <w:rPr>
          <w:rFonts w:ascii="Times New Roman" w:hAnsi="Times New Roman"/>
        </w:rPr>
      </w:pPr>
      <w:r>
        <w:rPr>
          <w:rFonts w:ascii="Times New Roman" w:hAnsi="Times New Roman"/>
        </w:rPr>
        <w:t>本专业加强对教学内容的研究，鼓励教师积极参与课程改革，本学年专业教师完成了3项校级</w:t>
      </w:r>
      <w:r>
        <w:rPr>
          <w:rFonts w:hint="eastAsia" w:ascii="Times New Roman" w:hAnsi="Times New Roman"/>
        </w:rPr>
        <w:t>教学</w:t>
      </w:r>
      <w:r>
        <w:rPr>
          <w:rFonts w:ascii="Times New Roman" w:hAnsi="Times New Roman"/>
        </w:rPr>
        <w:t>改革项目。</w:t>
      </w:r>
      <w:r>
        <w:rPr>
          <w:rFonts w:hint="eastAsia" w:ascii="Times New Roman" w:hAnsi="Times New Roman"/>
        </w:rPr>
        <w:t>胡斌教授《管理学》课程获批上海高校市级重点课程；董晓松</w:t>
      </w:r>
      <w:r>
        <w:rPr>
          <w:rFonts w:ascii="Times New Roman" w:hAnsi="Times New Roman"/>
        </w:rPr>
        <w:t>教授《</w:t>
      </w:r>
      <w:r>
        <w:rPr>
          <w:rFonts w:hint="eastAsia" w:ascii="Times New Roman" w:hAnsi="Times New Roman"/>
        </w:rPr>
        <w:t>数字经济</w:t>
      </w:r>
      <w:r>
        <w:rPr>
          <w:rFonts w:ascii="Times New Roman" w:hAnsi="Times New Roman"/>
        </w:rPr>
        <w:t>》课程</w:t>
      </w:r>
      <w:r>
        <w:rPr>
          <w:rFonts w:hint="eastAsia" w:ascii="Times New Roman" w:hAnsi="Times New Roman"/>
        </w:rPr>
        <w:t>获批校级教学建设项目</w:t>
      </w:r>
      <w:r>
        <w:rPr>
          <w:rFonts w:ascii="Times New Roman" w:hAnsi="Times New Roman"/>
        </w:rPr>
        <w:t>；马涛老师《</w:t>
      </w:r>
      <w:r>
        <w:rPr>
          <w:rFonts w:hint="eastAsia" w:ascii="Times New Roman" w:hAnsi="Times New Roman"/>
        </w:rPr>
        <w:t>新文科背景下基于“四链融通”的产教融合协同育人模式探索</w:t>
      </w:r>
      <w:r>
        <w:rPr>
          <w:rFonts w:ascii="Times New Roman" w:hAnsi="Times New Roman"/>
        </w:rPr>
        <w:t>》</w:t>
      </w:r>
      <w:r>
        <w:rPr>
          <w:rFonts w:hint="eastAsia" w:ascii="Times New Roman" w:hAnsi="Times New Roman"/>
        </w:rPr>
        <w:t>获批校级教学建设项目</w:t>
      </w:r>
      <w:r>
        <w:rPr>
          <w:rFonts w:ascii="Times New Roman" w:hAnsi="Times New Roman"/>
        </w:rPr>
        <w:t>。</w:t>
      </w:r>
    </w:p>
    <w:p>
      <w:pPr>
        <w:shd w:val="clear" w:color="auto" w:fill="FFFFFF"/>
        <w:spacing w:line="360" w:lineRule="auto"/>
        <w:ind w:firstLine="480" w:firstLineChars="200"/>
        <w:rPr>
          <w:rFonts w:ascii="Times New Roman" w:hAnsi="Times New Roman"/>
        </w:rPr>
      </w:pPr>
      <w:r>
        <w:rPr>
          <w:rFonts w:ascii="Times New Roman" w:hAnsi="Times New Roman"/>
        </w:rPr>
        <w:t>在推进课程改革的同时，本专业教师还结合课堂教学实践，发表了相关教研论文1篇，出版课程配套教材1部。</w:t>
      </w:r>
      <w:r>
        <w:rPr>
          <w:rFonts w:hint="eastAsia" w:ascii="Times New Roman" w:hAnsi="Times New Roman"/>
        </w:rPr>
        <w:t>江瑶副教授</w:t>
      </w:r>
      <w:r>
        <w:rPr>
          <w:rFonts w:ascii="Times New Roman" w:hAnsi="Times New Roman"/>
        </w:rPr>
        <w:t>在《</w:t>
      </w:r>
      <w:r>
        <w:rPr>
          <w:rFonts w:hint="eastAsia" w:ascii="Times New Roman" w:hAnsi="Times New Roman"/>
        </w:rPr>
        <w:t>科技资讯</w:t>
      </w:r>
      <w:r>
        <w:rPr>
          <w:rFonts w:ascii="Times New Roman" w:hAnsi="Times New Roman"/>
        </w:rPr>
        <w:t>》期刊上发表了</w:t>
      </w:r>
      <w:r>
        <w:rPr>
          <w:rFonts w:hint="eastAsia" w:ascii="Times New Roman" w:hAnsi="Times New Roman"/>
        </w:rPr>
        <w:t>教研</w:t>
      </w:r>
      <w:r>
        <w:rPr>
          <w:rFonts w:ascii="Times New Roman" w:hAnsi="Times New Roman"/>
        </w:rPr>
        <w:t>论文《</w:t>
      </w:r>
      <w:r>
        <w:rPr>
          <w:rFonts w:hint="eastAsia" w:ascii="Times New Roman" w:hAnsi="Times New Roman"/>
        </w:rPr>
        <w:t>基于组态视角的高校线上教学满意度影响因素研究</w:t>
      </w:r>
      <w:r>
        <w:rPr>
          <w:rFonts w:ascii="Times New Roman" w:hAnsi="Times New Roman"/>
        </w:rPr>
        <w:t>》。黄炜老师在上海财大出版社出版教材《国有资产管理（第二版）》。</w:t>
      </w:r>
    </w:p>
    <w:p>
      <w:pPr>
        <w:shd w:val="clear" w:color="auto" w:fill="FFFFFF"/>
        <w:spacing w:line="360" w:lineRule="auto"/>
        <w:ind w:firstLine="480" w:firstLineChars="200"/>
        <w:rPr>
          <w:rFonts w:ascii="Times New Roman" w:hAnsi="Times New Roman"/>
        </w:rPr>
      </w:pPr>
      <w:r>
        <w:rPr>
          <w:rFonts w:ascii="Times New Roman" w:hAnsi="Times New Roman"/>
        </w:rPr>
        <w:t>此外，本专业教师</w:t>
      </w:r>
      <w:r>
        <w:rPr>
          <w:rFonts w:hint="eastAsia" w:ascii="Times New Roman" w:hAnsi="Times New Roman"/>
        </w:rPr>
        <w:t>积极参与到教学竞赛活动中，</w:t>
      </w:r>
      <w:r>
        <w:rPr>
          <w:rFonts w:ascii="Times New Roman" w:hAnsi="Times New Roman"/>
        </w:rPr>
        <w:t>本学年</w:t>
      </w:r>
      <w:r>
        <w:rPr>
          <w:rFonts w:hint="eastAsia" w:ascii="Times New Roman" w:hAnsi="Times New Roman"/>
        </w:rPr>
        <w:t>吴国庆</w:t>
      </w:r>
      <w:r>
        <w:rPr>
          <w:rFonts w:ascii="Times New Roman" w:hAnsi="Times New Roman"/>
        </w:rPr>
        <w:t>老师积极参与了教师</w:t>
      </w:r>
      <w:r>
        <w:rPr>
          <w:rFonts w:hint="eastAsia" w:ascii="Times New Roman" w:hAnsi="Times New Roman"/>
        </w:rPr>
        <w:t>教学创新大</w:t>
      </w:r>
      <w:r>
        <w:rPr>
          <w:rFonts w:ascii="Times New Roman" w:hAnsi="Times New Roman"/>
        </w:rPr>
        <w:t>赛</w:t>
      </w:r>
      <w:r>
        <w:rPr>
          <w:rFonts w:hint="eastAsia" w:ascii="Times New Roman" w:hAnsi="Times New Roman"/>
        </w:rPr>
        <w:t>，获得校级社会科学组二等奖；吴蝶老师获得第2</w:t>
      </w:r>
      <w:r>
        <w:rPr>
          <w:rFonts w:ascii="Times New Roman" w:hAnsi="Times New Roman"/>
        </w:rPr>
        <w:t>0</w:t>
      </w:r>
      <w:r>
        <w:rPr>
          <w:rFonts w:hint="eastAsia" w:ascii="Times New Roman" w:hAnsi="Times New Roman"/>
        </w:rPr>
        <w:t>期上海市属高校新教师岗前培训教学技能大赛二等奖</w:t>
      </w:r>
      <w:r>
        <w:rPr>
          <w:rFonts w:ascii="Times New Roman" w:hAnsi="Times New Roman"/>
        </w:rPr>
        <w:t>。</w:t>
      </w:r>
    </w:p>
    <w:p>
      <w:pPr>
        <w:shd w:val="clear" w:color="auto" w:fill="FFFFFF"/>
        <w:spacing w:line="360" w:lineRule="auto"/>
        <w:ind w:firstLine="480" w:firstLineChars="200"/>
        <w:rPr>
          <w:rFonts w:ascii="Times New Roman" w:hAnsi="Times New Roman"/>
        </w:rPr>
      </w:pPr>
      <w:r>
        <w:rPr>
          <w:rFonts w:ascii="Times New Roman" w:hAnsi="Times New Roman"/>
        </w:rPr>
        <w:t>（3）教学方法改革</w:t>
      </w:r>
    </w:p>
    <w:p>
      <w:pPr>
        <w:shd w:val="clear" w:color="auto" w:fill="FFFFFF"/>
        <w:snapToGrid w:val="0"/>
        <w:spacing w:line="360" w:lineRule="auto"/>
        <w:ind w:firstLine="360"/>
        <w:rPr>
          <w:rFonts w:ascii="Times New Roman" w:hAnsi="Times New Roman"/>
        </w:rPr>
      </w:pPr>
      <w:r>
        <w:rPr>
          <w:rFonts w:ascii="Times New Roman" w:hAnsi="Times New Roman"/>
        </w:rPr>
        <w:t>本专业教师重视教学方法改革，不断改进多媒体教学手段的运用。主干课程使用的教材质量有保证，内容处理得当，教师们能充分利用智慧教室、5G、互联网等信息技术，推进课堂教学方法改革，促进现代信息技术与教育教学深度融合。例如，《管理学》《战略管理》等主干课程采用案例分析、情景模拟、角色扮演、小组讨论、管理沙龙等教学方法进行教学。</w:t>
      </w:r>
    </w:p>
    <w:p>
      <w:pPr>
        <w:shd w:val="clear" w:color="auto" w:fill="FFFFFF"/>
        <w:snapToGrid w:val="0"/>
        <w:spacing w:line="360" w:lineRule="auto"/>
        <w:ind w:firstLine="360"/>
        <w:rPr>
          <w:rFonts w:hint="eastAsia" w:ascii="Times New Roman" w:hAnsi="Times New Roman"/>
        </w:rPr>
      </w:pPr>
      <w:r>
        <w:rPr>
          <w:rFonts w:ascii="Times New Roman" w:hAnsi="Times New Roman"/>
        </w:rPr>
        <w:t>本专业教学方法改革的主要措施包括：理论联系实际，深入浅出，广泛运用启发式教学法来培养学生的独立思考精神和能力；应用讨论式教学法（尤其是分组讨论），来培养学生的团队精神；采用案例教学法来提高学生对实际经济活动的感悟，并培养学生提出问题、分析问题和解决问题的能力。</w:t>
      </w:r>
    </w:p>
    <w:p>
      <w:pPr>
        <w:pStyle w:val="3"/>
        <w:pageBreakBefore/>
        <w:spacing w:after="120" w:line="415" w:lineRule="auto"/>
        <w:jc w:val="left"/>
        <w:rPr>
          <w:rFonts w:ascii="Times New Roman" w:hAnsi="Times New Roman"/>
          <w:sz w:val="28"/>
          <w:szCs w:val="28"/>
        </w:rPr>
      </w:pPr>
      <w:bookmarkStart w:id="51" w:name="_Toc159705224"/>
      <w:r>
        <w:rPr>
          <w:rFonts w:ascii="Times New Roman" w:hAnsi="Times New Roman"/>
          <w:sz w:val="28"/>
          <w:szCs w:val="28"/>
        </w:rPr>
        <w:t>4.教师队伍</w:t>
      </w:r>
      <w:bookmarkEnd w:id="51"/>
      <w:r>
        <w:rPr>
          <w:rFonts w:ascii="Times New Roman" w:hAnsi="Times New Roman"/>
          <w:sz w:val="28"/>
          <w:szCs w:val="28"/>
        </w:rPr>
        <w:t xml:space="preserve"> </w:t>
      </w:r>
    </w:p>
    <w:p>
      <w:pPr>
        <w:pStyle w:val="4"/>
        <w:rPr>
          <w:rFonts w:ascii="Times New Roman" w:hAnsi="Times New Roman" w:eastAsia="宋体"/>
          <w:b w:val="0"/>
          <w:bCs w:val="0"/>
          <w:sz w:val="24"/>
          <w:szCs w:val="24"/>
        </w:rPr>
      </w:pPr>
      <w:bookmarkStart w:id="52" w:name="_Toc159705225"/>
      <w:r>
        <w:rPr>
          <w:rFonts w:ascii="Times New Roman" w:hAnsi="Times New Roman" w:eastAsia="宋体"/>
          <w:b w:val="0"/>
          <w:bCs w:val="0"/>
          <w:sz w:val="24"/>
          <w:szCs w:val="24"/>
        </w:rPr>
        <w:t>4.1专业教师数量与结构</w:t>
      </w:r>
      <w:bookmarkEnd w:id="52"/>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4.1.1专业教师数量</w:t>
      </w:r>
    </w:p>
    <w:p>
      <w:pPr>
        <w:spacing w:line="360" w:lineRule="auto"/>
        <w:ind w:firstLine="480" w:firstLineChars="200"/>
        <w:jc w:val="both"/>
        <w:rPr>
          <w:rFonts w:ascii="Times New Roman" w:hAnsi="Times New Roman" w:cs="Times New Roman"/>
        </w:rPr>
      </w:pPr>
      <w:r>
        <w:rPr>
          <w:rFonts w:hint="eastAsia" w:ascii="Times New Roman" w:hAnsi="Times New Roman" w:cs="Times New Roman"/>
        </w:rPr>
        <w:t>专业教师共1</w:t>
      </w:r>
      <w:r>
        <w:rPr>
          <w:rFonts w:ascii="Times New Roman" w:hAnsi="Times New Roman" w:cs="Times New Roman"/>
        </w:rPr>
        <w:t>4</w:t>
      </w:r>
      <w:r>
        <w:rPr>
          <w:rFonts w:hint="eastAsia" w:ascii="Times New Roman" w:hAnsi="Times New Roman" w:cs="Times New Roman"/>
        </w:rPr>
        <w:t>人，其中近五年新增教师</w:t>
      </w:r>
      <w:r>
        <w:rPr>
          <w:rFonts w:ascii="Times New Roman" w:hAnsi="Times New Roman" w:cs="Times New Roman"/>
        </w:rPr>
        <w:t>8</w:t>
      </w:r>
      <w:r>
        <w:rPr>
          <w:rFonts w:hint="eastAsia" w:ascii="Times New Roman" w:hAnsi="Times New Roman" w:cs="Times New Roman"/>
        </w:rPr>
        <w:t>人，占比</w:t>
      </w:r>
      <w:r>
        <w:rPr>
          <w:rFonts w:ascii="Times New Roman" w:hAnsi="Times New Roman"/>
        </w:rPr>
        <w:t>57.14</w:t>
      </w:r>
      <w:r>
        <w:rPr>
          <w:rFonts w:hint="eastAsia" w:ascii="Times New Roman" w:hAnsi="Times New Roman" w:cs="Times New Roman"/>
        </w:rPr>
        <w:t>%，双师双能型教师数量为</w:t>
      </w:r>
      <w:r>
        <w:rPr>
          <w:rFonts w:ascii="Times New Roman" w:hAnsi="Times New Roman" w:cs="Times New Roman"/>
        </w:rPr>
        <w:t>10</w:t>
      </w:r>
      <w:r>
        <w:rPr>
          <w:rFonts w:hint="eastAsia" w:ascii="Times New Roman" w:hAnsi="Times New Roman" w:cs="Times New Roman"/>
        </w:rPr>
        <w:t>人，占比</w:t>
      </w:r>
      <w:r>
        <w:rPr>
          <w:rFonts w:ascii="Times New Roman" w:hAnsi="Times New Roman"/>
        </w:rPr>
        <w:t>71.43</w:t>
      </w:r>
      <w:r>
        <w:rPr>
          <w:rFonts w:hint="eastAsia" w:ascii="Times New Roman" w:hAnsi="Times New Roman" w:cs="Times New Roman"/>
        </w:rPr>
        <w:t>%，具有行业企业背景教师数量为2人，占比</w:t>
      </w:r>
      <w:r>
        <w:rPr>
          <w:rFonts w:ascii="Times New Roman" w:hAnsi="Times New Roman" w:cs="Times New Roman"/>
        </w:rPr>
        <w:t>14.29</w:t>
      </w:r>
      <w:r>
        <w:rPr>
          <w:rFonts w:hint="eastAsia" w:ascii="Times New Roman" w:hAnsi="Times New Roman" w:cs="Times New Roman"/>
        </w:rPr>
        <w:t>%，高级职称教师4人，占比</w:t>
      </w:r>
      <w:r>
        <w:rPr>
          <w:rFonts w:ascii="Times New Roman" w:hAnsi="Times New Roman" w:cs="Times New Roman"/>
        </w:rPr>
        <w:t>28.57</w:t>
      </w:r>
      <w:r>
        <w:rPr>
          <w:rFonts w:hint="eastAsia" w:ascii="Times New Roman" w:hAnsi="Times New Roman" w:cs="Times New Roman"/>
        </w:rPr>
        <w:t>%，学年内承担专业课教学的本专业教师数量为10人，占比</w:t>
      </w:r>
      <w:r>
        <w:rPr>
          <w:rFonts w:ascii="Times New Roman" w:hAnsi="Times New Roman" w:cs="Times New Roman"/>
        </w:rPr>
        <w:t>71.43</w:t>
      </w:r>
      <w:r>
        <w:rPr>
          <w:rFonts w:hint="eastAsia" w:ascii="Times New Roman" w:hAnsi="Times New Roman" w:cs="Times New Roman"/>
        </w:rPr>
        <w:t>%。</w:t>
      </w:r>
    </w:p>
    <w:p>
      <w:pPr>
        <w:pStyle w:val="36"/>
        <w:spacing w:before="156" w:after="156"/>
        <w:rPr>
          <w:rFonts w:hint="eastAsia"/>
        </w:rPr>
      </w:pPr>
      <w:r>
        <w:t>表</w:t>
      </w:r>
      <w:r>
        <w:rPr>
          <w:rFonts w:hint="eastAsia"/>
        </w:rPr>
        <w:t>1</w:t>
      </w:r>
      <w:r>
        <w:t xml:space="preserve">2 </w:t>
      </w:r>
      <w:r>
        <w:rPr>
          <w:rFonts w:hint="eastAsia"/>
        </w:rPr>
        <w:t>工商管理</w:t>
      </w:r>
      <w:r>
        <w:t>专业</w:t>
      </w:r>
      <w:r>
        <w:rPr>
          <w:rFonts w:hint="eastAsia"/>
        </w:rPr>
        <w:t>教师数量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项目</w:t>
            </w:r>
          </w:p>
        </w:tc>
        <w:tc>
          <w:tcPr>
            <w:tcW w:w="1843"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数量</w:t>
            </w:r>
          </w:p>
        </w:tc>
        <w:tc>
          <w:tcPr>
            <w:tcW w:w="1638"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专业教师总数</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14</w:t>
            </w:r>
            <w:bookmarkStart w:id="53" w:name="OLE_LINK1"/>
            <w:bookmarkEnd w:id="53"/>
          </w:p>
        </w:tc>
        <w:tc>
          <w:tcPr>
            <w:tcW w:w="1638"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其中：</w:t>
            </w:r>
            <w:bookmarkStart w:id="54" w:name="OLE_LINK26"/>
            <w:r>
              <w:rPr>
                <w:rFonts w:hint="eastAsia" w:ascii="Times New Roman" w:hAnsi="Times New Roman"/>
                <w:sz w:val="21"/>
                <w:szCs w:val="21"/>
              </w:rPr>
              <w:t>近五年新增教师</w:t>
            </w:r>
            <w:bookmarkEnd w:id="54"/>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8</w:t>
            </w:r>
            <w:bookmarkStart w:id="55" w:name="OLE_LINK23"/>
            <w:bookmarkEnd w:id="55"/>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双师双能型教师</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10</w:t>
            </w:r>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具有行业企业背景</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2</w:t>
            </w:r>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高级职称教师数量</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4</w:t>
            </w:r>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学年内承担专业课教学的本专业教师数</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10</w:t>
            </w:r>
            <w:bookmarkStart w:id="56" w:name="OLE_LINK24"/>
            <w:bookmarkEnd w:id="56"/>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2"/>
              </w:rPr>
              <w:t>教授数量</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2</w:t>
            </w:r>
            <w:bookmarkStart w:id="57" w:name="OLE_LINK25"/>
            <w:bookmarkEnd w:id="57"/>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学年内承担专业课课程的教授数量</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1</w:t>
            </w:r>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学年内</w:t>
            </w:r>
            <w:r>
              <w:rPr>
                <w:rFonts w:hint="eastAsia" w:ascii="Times New Roman" w:hAnsi="Times New Roman"/>
                <w:sz w:val="21"/>
                <w:szCs w:val="22"/>
              </w:rPr>
              <w:t>低年级授课教授数量</w:t>
            </w:r>
          </w:p>
        </w:tc>
        <w:tc>
          <w:tcPr>
            <w:tcW w:w="1843"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bookmarkStart w:id="58" w:name="OLE_LINK22"/>
            <w:bookmarkEnd w:id="58"/>
          </w:p>
        </w:tc>
        <w:tc>
          <w:tcPr>
            <w:tcW w:w="1638"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bl>
    <w:p>
      <w:pPr>
        <w:rPr>
          <w:rFonts w:ascii="Times New Roman" w:hAnsi="Times New Roman"/>
          <w:sz w:val="21"/>
          <w:szCs w:val="21"/>
        </w:rPr>
      </w:pPr>
      <w:r>
        <w:rPr>
          <w:rFonts w:hint="eastAsia" w:ascii="Times New Roman" w:hAnsi="Times New Roman"/>
        </w:rPr>
        <w:t>*</w:t>
      </w:r>
      <w:r>
        <w:rPr>
          <w:rFonts w:hint="eastAsia" w:ascii="Times New Roman" w:hAnsi="Times New Roman"/>
          <w:sz w:val="21"/>
          <w:szCs w:val="21"/>
        </w:rPr>
        <w:t>学年内承担专业课课程的教授比例、学年内</w:t>
      </w:r>
      <w:r>
        <w:rPr>
          <w:rFonts w:hint="eastAsia" w:ascii="Times New Roman" w:hAnsi="Times New Roman"/>
          <w:sz w:val="21"/>
          <w:szCs w:val="22"/>
        </w:rPr>
        <w:t>低年级授课教授</w:t>
      </w:r>
      <w:r>
        <w:rPr>
          <w:rFonts w:hint="eastAsia" w:ascii="Times New Roman" w:hAnsi="Times New Roman"/>
          <w:sz w:val="21"/>
          <w:szCs w:val="21"/>
        </w:rPr>
        <w:t>比例 为占专业教授数量的比例。本表仅统计本专业教师。</w:t>
      </w:r>
    </w:p>
    <w:p>
      <w:pPr>
        <w:rPr>
          <w:rFonts w:ascii="Times New Roman" w:hAnsi="Times New Roman"/>
        </w:rPr>
      </w:pPr>
    </w:p>
    <w:p>
      <w:pPr>
        <w:rPr>
          <w:rFonts w:ascii="Times New Roman" w:hAnsi="Times New Roman"/>
        </w:rPr>
      </w:pPr>
      <w:r>
        <w:rPr>
          <w:rFonts w:hint="eastAsia" w:ascii="Times New Roman" w:hAnsi="Times New Roman"/>
        </w:rPr>
        <w:t>※</w:t>
      </w:r>
      <w:r>
        <w:rPr>
          <w:rFonts w:ascii="Times New Roman" w:hAnsi="Times New Roman"/>
        </w:rPr>
        <w:t>以上数据来源：表 1-5-1 教职工基本信息、表 5-1-1 开课情况、表 5-1-2 专业课教学实施情况。</w:t>
      </w:r>
    </w:p>
    <w:p>
      <w:pPr>
        <w:rPr>
          <w:rFonts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4.1.2专业教师结构</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专业教师1</w:t>
      </w:r>
      <w:r>
        <w:rPr>
          <w:rFonts w:ascii="Times New Roman" w:hAnsi="Times New Roman" w:cs="Times New Roman"/>
          <w:szCs w:val="28"/>
        </w:rPr>
        <w:t>4</w:t>
      </w:r>
      <w:r>
        <w:rPr>
          <w:rFonts w:hint="eastAsia" w:ascii="Times New Roman" w:hAnsi="Times New Roman" w:cs="Times New Roman"/>
          <w:szCs w:val="28"/>
        </w:rPr>
        <w:t>人，教授</w:t>
      </w:r>
      <w:r>
        <w:rPr>
          <w:rFonts w:ascii="Times New Roman" w:hAnsi="Times New Roman" w:cs="Times New Roman"/>
          <w:szCs w:val="28"/>
        </w:rPr>
        <w:t>2</w:t>
      </w:r>
      <w:r>
        <w:rPr>
          <w:rFonts w:hint="eastAsia" w:ascii="Times New Roman" w:hAnsi="Times New Roman" w:cs="Times New Roman"/>
          <w:szCs w:val="28"/>
        </w:rPr>
        <w:t>人，副教授</w:t>
      </w:r>
      <w:r>
        <w:rPr>
          <w:rFonts w:ascii="Times New Roman" w:hAnsi="Times New Roman" w:cs="Times New Roman"/>
          <w:szCs w:val="28"/>
        </w:rPr>
        <w:t>2</w:t>
      </w:r>
      <w:r>
        <w:rPr>
          <w:rFonts w:hint="eastAsia" w:ascii="Times New Roman" w:hAnsi="Times New Roman" w:cs="Times New Roman"/>
          <w:szCs w:val="28"/>
        </w:rPr>
        <w:t>人，讲师</w:t>
      </w:r>
      <w:r>
        <w:rPr>
          <w:rFonts w:ascii="Times New Roman" w:hAnsi="Times New Roman" w:cs="Times New Roman"/>
          <w:szCs w:val="28"/>
        </w:rPr>
        <w:t>8</w:t>
      </w:r>
      <w:r>
        <w:rPr>
          <w:rFonts w:hint="eastAsia" w:ascii="Times New Roman" w:hAnsi="Times New Roman" w:cs="Times New Roman"/>
          <w:szCs w:val="28"/>
        </w:rPr>
        <w:t>人；有博士学位的教师</w:t>
      </w:r>
      <w:r>
        <w:rPr>
          <w:rFonts w:ascii="Times New Roman" w:hAnsi="Times New Roman" w:cs="Times New Roman"/>
          <w:szCs w:val="28"/>
        </w:rPr>
        <w:t>10</w:t>
      </w:r>
      <w:r>
        <w:rPr>
          <w:rFonts w:hint="eastAsia" w:ascii="Times New Roman" w:hAnsi="Times New Roman" w:cs="Times New Roman"/>
          <w:szCs w:val="28"/>
        </w:rPr>
        <w:t>人，占比</w:t>
      </w:r>
      <w:r>
        <w:rPr>
          <w:rFonts w:ascii="Times New Roman" w:hAnsi="Times New Roman" w:cs="Times New Roman"/>
          <w:szCs w:val="28"/>
        </w:rPr>
        <w:t>71.43</w:t>
      </w:r>
      <w:r>
        <w:rPr>
          <w:rFonts w:hint="eastAsia" w:ascii="Times New Roman" w:hAnsi="Times New Roman" w:cs="Times New Roman"/>
          <w:szCs w:val="28"/>
        </w:rPr>
        <w:t>%，有硕士学位的教师4人，占比</w:t>
      </w:r>
      <w:r>
        <w:rPr>
          <w:rFonts w:ascii="Times New Roman" w:hAnsi="Times New Roman" w:cs="Times New Roman"/>
          <w:szCs w:val="28"/>
        </w:rPr>
        <w:t>28.57</w:t>
      </w:r>
      <w:r>
        <w:rPr>
          <w:rFonts w:hint="eastAsia" w:ascii="Times New Roman" w:hAnsi="Times New Roman" w:cs="Times New Roman"/>
          <w:szCs w:val="28"/>
        </w:rPr>
        <w:t>%；35岁及以下的教师</w:t>
      </w:r>
      <w:r>
        <w:rPr>
          <w:rFonts w:ascii="Times New Roman" w:hAnsi="Times New Roman" w:cs="Times New Roman"/>
          <w:szCs w:val="28"/>
        </w:rPr>
        <w:t>6</w:t>
      </w:r>
      <w:r>
        <w:rPr>
          <w:rFonts w:hint="eastAsia" w:ascii="Times New Roman" w:hAnsi="Times New Roman" w:cs="Times New Roman"/>
          <w:szCs w:val="28"/>
        </w:rPr>
        <w:t>人，占比</w:t>
      </w:r>
      <w:r>
        <w:rPr>
          <w:rFonts w:ascii="Times New Roman" w:hAnsi="Times New Roman" w:cs="Times New Roman"/>
          <w:szCs w:val="28"/>
        </w:rPr>
        <w:t>42.86</w:t>
      </w:r>
      <w:r>
        <w:rPr>
          <w:rFonts w:hint="eastAsia" w:ascii="Times New Roman" w:hAnsi="Times New Roman" w:cs="Times New Roman"/>
          <w:szCs w:val="28"/>
        </w:rPr>
        <w:t>%，36-45岁的教师</w:t>
      </w:r>
      <w:r>
        <w:rPr>
          <w:rFonts w:ascii="Times New Roman" w:hAnsi="Times New Roman" w:cs="Times New Roman"/>
          <w:szCs w:val="28"/>
        </w:rPr>
        <w:t>5</w:t>
      </w:r>
      <w:r>
        <w:rPr>
          <w:rFonts w:hint="eastAsia" w:ascii="Times New Roman" w:hAnsi="Times New Roman" w:cs="Times New Roman"/>
          <w:szCs w:val="28"/>
        </w:rPr>
        <w:t>人，占比</w:t>
      </w:r>
      <w:r>
        <w:rPr>
          <w:rFonts w:ascii="Times New Roman" w:hAnsi="Times New Roman" w:cs="Times New Roman"/>
          <w:szCs w:val="28"/>
        </w:rPr>
        <w:t>35.71</w:t>
      </w:r>
      <w:r>
        <w:rPr>
          <w:rFonts w:hint="eastAsia" w:ascii="Times New Roman" w:hAnsi="Times New Roman" w:cs="Times New Roman"/>
          <w:szCs w:val="28"/>
        </w:rPr>
        <w:t>%，46-55岁的教师2人，占比</w:t>
      </w:r>
      <w:r>
        <w:rPr>
          <w:rFonts w:ascii="Times New Roman" w:hAnsi="Times New Roman" w:cs="Times New Roman"/>
          <w:szCs w:val="28"/>
        </w:rPr>
        <w:t>14.29</w:t>
      </w:r>
      <w:r>
        <w:rPr>
          <w:rFonts w:hint="eastAsia" w:ascii="Times New Roman" w:hAnsi="Times New Roman" w:cs="Times New Roman"/>
          <w:szCs w:val="28"/>
        </w:rPr>
        <w:t>%，5</w:t>
      </w:r>
      <w:r>
        <w:rPr>
          <w:rFonts w:ascii="Times New Roman" w:hAnsi="Times New Roman" w:cs="Times New Roman"/>
          <w:szCs w:val="28"/>
        </w:rPr>
        <w:t>6</w:t>
      </w:r>
      <w:r>
        <w:rPr>
          <w:rFonts w:hint="eastAsia" w:ascii="Times New Roman" w:hAnsi="Times New Roman" w:cs="Times New Roman"/>
          <w:szCs w:val="28"/>
        </w:rPr>
        <w:t>岁及以上的教师</w:t>
      </w:r>
      <w:r>
        <w:rPr>
          <w:rFonts w:ascii="Times New Roman" w:hAnsi="Times New Roman" w:cs="Times New Roman"/>
          <w:szCs w:val="28"/>
        </w:rPr>
        <w:t>1</w:t>
      </w:r>
      <w:r>
        <w:rPr>
          <w:rFonts w:hint="eastAsia" w:ascii="Times New Roman" w:hAnsi="Times New Roman" w:cs="Times New Roman"/>
          <w:szCs w:val="28"/>
        </w:rPr>
        <w:t>人，占比</w:t>
      </w:r>
      <w:r>
        <w:rPr>
          <w:rFonts w:ascii="Times New Roman" w:hAnsi="Times New Roman" w:cs="Times New Roman"/>
          <w:szCs w:val="28"/>
        </w:rPr>
        <w:t>7.14</w:t>
      </w:r>
      <w:r>
        <w:rPr>
          <w:rFonts w:hint="eastAsia" w:ascii="Times New Roman" w:hAnsi="Times New Roman" w:cs="Times New Roman"/>
          <w:szCs w:val="28"/>
        </w:rPr>
        <w:t>%；学缘方面，本校教师1人，外校教师</w:t>
      </w:r>
      <w:r>
        <w:rPr>
          <w:rFonts w:ascii="Times New Roman" w:hAnsi="Times New Roman" w:cs="Times New Roman"/>
          <w:szCs w:val="28"/>
        </w:rPr>
        <w:t>13</w:t>
      </w:r>
      <w:r>
        <w:rPr>
          <w:rFonts w:hint="eastAsia" w:ascii="Times New Roman" w:hAnsi="Times New Roman" w:cs="Times New Roman"/>
          <w:szCs w:val="28"/>
        </w:rPr>
        <w:t>人，其中外校教师均来自于境内。</w:t>
      </w:r>
    </w:p>
    <w:p>
      <w:pPr>
        <w:pStyle w:val="36"/>
        <w:spacing w:before="156" w:after="156"/>
        <w:rPr>
          <w:rFonts w:hint="eastAsia"/>
        </w:rPr>
      </w:pPr>
      <w:r>
        <w:t>表</w:t>
      </w:r>
      <w:r>
        <w:rPr>
          <w:rFonts w:hint="eastAsia"/>
        </w:rPr>
        <w:t>1</w:t>
      </w:r>
      <w:r>
        <w:t xml:space="preserve">3 </w:t>
      </w:r>
      <w:r>
        <w:rPr>
          <w:rFonts w:hint="eastAsia"/>
        </w:rPr>
        <w:t>工商管理</w:t>
      </w:r>
      <w:r>
        <w:t>专业</w:t>
      </w:r>
      <w:r>
        <w:rPr>
          <w:rFonts w:hint="eastAsia"/>
        </w:rPr>
        <w:t>教师结构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rPr>
          <w:cantSplit/>
        </w:trPr>
        <w:tc>
          <w:tcPr>
            <w:tcW w:w="4148" w:type="dxa"/>
            <w:gridSpan w:val="3"/>
            <w:vAlign w:val="center"/>
          </w:tcPr>
          <w:p>
            <w:pPr>
              <w:spacing w:line="288" w:lineRule="auto"/>
              <w:jc w:val="center"/>
              <w:rPr>
                <w:rFonts w:ascii="Times New Roman" w:hAnsi="Times New Roman"/>
                <w:sz w:val="21"/>
                <w:szCs w:val="21"/>
              </w:rPr>
            </w:pPr>
            <w:r>
              <w:rPr>
                <w:rFonts w:hint="eastAsia" w:ascii="Times New Roman" w:hAnsi="Times New Roman"/>
                <w:sz w:val="21"/>
                <w:szCs w:val="21"/>
              </w:rPr>
              <w:t>项目</w:t>
            </w:r>
          </w:p>
        </w:tc>
        <w:tc>
          <w:tcPr>
            <w:tcW w:w="2074"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数量</w:t>
            </w:r>
          </w:p>
        </w:tc>
        <w:tc>
          <w:tcPr>
            <w:tcW w:w="2074"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spacing w:line="288" w:lineRule="auto"/>
              <w:jc w:val="center"/>
              <w:rPr>
                <w:rFonts w:ascii="Times New Roman" w:hAnsi="Times New Roman"/>
                <w:sz w:val="21"/>
                <w:szCs w:val="21"/>
              </w:rPr>
            </w:pPr>
            <w:r>
              <w:rPr>
                <w:rFonts w:hint="eastAsia" w:ascii="Times New Roman" w:hAnsi="Times New Roman"/>
                <w:sz w:val="21"/>
                <w:szCs w:val="21"/>
              </w:rPr>
              <w:t>专业教师总数</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14</w:t>
            </w:r>
          </w:p>
        </w:tc>
        <w:tc>
          <w:tcPr>
            <w:tcW w:w="2074" w:type="dxa"/>
            <w:vAlign w:val="center"/>
          </w:tcPr>
          <w:p>
            <w:pPr>
              <w:spacing w:line="288" w:lineRule="auto"/>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288" w:lineRule="auto"/>
              <w:jc w:val="center"/>
              <w:rPr>
                <w:rFonts w:ascii="Times New Roman" w:hAnsi="Times New Roman"/>
                <w:sz w:val="21"/>
                <w:szCs w:val="21"/>
              </w:rPr>
            </w:pPr>
            <w:r>
              <w:rPr>
                <w:rFonts w:hint="eastAsia" w:ascii="Times New Roman" w:hAnsi="Times New Roman"/>
                <w:sz w:val="21"/>
                <w:szCs w:val="21"/>
              </w:rPr>
              <w:t>职称</w:t>
            </w: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教授</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2</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副教授</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2</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讲师</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8</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助教</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其他正高级</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其他副高级</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其他中级</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其他初级</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1"/>
              </w:rPr>
              <w:t>未评级</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288" w:lineRule="auto"/>
              <w:jc w:val="center"/>
              <w:rPr>
                <w:rFonts w:ascii="Times New Roman" w:hAnsi="Times New Roman"/>
                <w:sz w:val="21"/>
                <w:szCs w:val="21"/>
              </w:rPr>
            </w:pPr>
            <w:bookmarkStart w:id="59" w:name="OLE_LINK30"/>
            <w:r>
              <w:rPr>
                <w:rFonts w:hint="eastAsia" w:ascii="Times New Roman" w:hAnsi="Times New Roman"/>
                <w:sz w:val="21"/>
                <w:szCs w:val="21"/>
              </w:rPr>
              <w:t>最高学位</w:t>
            </w:r>
            <w:bookmarkEnd w:id="59"/>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2"/>
              </w:rPr>
              <w:t>博士</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71.43</w:t>
            </w:r>
            <w:bookmarkStart w:id="60" w:name="OLE_LINK31"/>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2"/>
              </w:rPr>
              <w:t>硕士</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4</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2"/>
              </w:rPr>
              <w:t>学士</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hint="eastAsia" w:ascii="Times New Roman" w:hAnsi="Times New Roman"/>
                <w:sz w:val="21"/>
                <w:szCs w:val="22"/>
              </w:rPr>
              <w:t>无学位</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288" w:lineRule="auto"/>
              <w:jc w:val="center"/>
              <w:rPr>
                <w:rFonts w:ascii="Times New Roman" w:hAnsi="Times New Roman"/>
                <w:sz w:val="21"/>
                <w:szCs w:val="21"/>
              </w:rPr>
            </w:pPr>
            <w:r>
              <w:rPr>
                <w:rFonts w:hint="eastAsia" w:ascii="Times New Roman" w:hAnsi="Times New Roman"/>
                <w:sz w:val="21"/>
                <w:szCs w:val="21"/>
              </w:rPr>
              <w:t>年龄</w:t>
            </w:r>
          </w:p>
        </w:tc>
        <w:tc>
          <w:tcPr>
            <w:tcW w:w="2877" w:type="dxa"/>
            <w:gridSpan w:val="2"/>
            <w:vAlign w:val="center"/>
          </w:tcPr>
          <w:p>
            <w:pPr>
              <w:spacing w:line="288" w:lineRule="auto"/>
              <w:jc w:val="center"/>
              <w:rPr>
                <w:rFonts w:ascii="Times New Roman" w:hAnsi="Times New Roman"/>
                <w:sz w:val="21"/>
                <w:szCs w:val="21"/>
              </w:rPr>
            </w:pPr>
            <w:r>
              <w:rPr>
                <w:rFonts w:ascii="Times New Roman" w:hAnsi="Times New Roman" w:eastAsia="Times New Roman" w:cs="Noto Sans Mono CJK JP Regular"/>
                <w:b/>
                <w:sz w:val="21"/>
                <w:szCs w:val="22"/>
              </w:rPr>
              <w:t xml:space="preserve">35 </w:t>
            </w:r>
            <w:r>
              <w:rPr>
                <w:rFonts w:hint="eastAsia" w:ascii="Times New Roman" w:hAnsi="Times New Roman"/>
                <w:sz w:val="21"/>
                <w:szCs w:val="22"/>
              </w:rPr>
              <w:t>岁及以下</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6</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ascii="Times New Roman" w:hAnsi="Times New Roman" w:eastAsia="Times New Roman" w:cs="Noto Sans Mono CJK JP Regular"/>
                <w:b/>
                <w:sz w:val="21"/>
                <w:szCs w:val="22"/>
              </w:rPr>
              <w:t xml:space="preserve">36-45 </w:t>
            </w:r>
            <w:r>
              <w:rPr>
                <w:rFonts w:hint="eastAsia" w:ascii="Times New Roman" w:hAnsi="Times New Roman"/>
                <w:sz w:val="21"/>
                <w:szCs w:val="22"/>
              </w:rPr>
              <w:t>岁</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5</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35.71</w:t>
            </w:r>
            <w:bookmarkStart w:id="61" w:name="OLE_LINK32"/>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ascii="Times New Roman" w:hAnsi="Times New Roman" w:eastAsia="Times New Roman" w:cs="Noto Sans Mono CJK JP Regular"/>
                <w:b/>
                <w:sz w:val="21"/>
                <w:szCs w:val="22"/>
              </w:rPr>
              <w:t xml:space="preserve">46-55 </w:t>
            </w:r>
            <w:r>
              <w:rPr>
                <w:rFonts w:hint="eastAsia" w:ascii="Times New Roman" w:hAnsi="Times New Roman"/>
                <w:sz w:val="21"/>
                <w:szCs w:val="22"/>
              </w:rPr>
              <w:t>岁</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2</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2877" w:type="dxa"/>
            <w:gridSpan w:val="2"/>
            <w:vAlign w:val="center"/>
          </w:tcPr>
          <w:p>
            <w:pPr>
              <w:spacing w:line="288" w:lineRule="auto"/>
              <w:jc w:val="center"/>
              <w:rPr>
                <w:rFonts w:ascii="Times New Roman" w:hAnsi="Times New Roman"/>
                <w:sz w:val="21"/>
                <w:szCs w:val="21"/>
              </w:rPr>
            </w:pPr>
            <w:r>
              <w:rPr>
                <w:rFonts w:ascii="Times New Roman" w:hAnsi="Times New Roman" w:eastAsia="Times New Roman" w:cs="Noto Sans Mono CJK JP Regular"/>
                <w:b/>
                <w:sz w:val="21"/>
                <w:szCs w:val="22"/>
              </w:rPr>
              <w:t xml:space="preserve">56 </w:t>
            </w:r>
            <w:r>
              <w:rPr>
                <w:rFonts w:hint="eastAsia" w:ascii="Times New Roman" w:hAnsi="Times New Roman"/>
                <w:sz w:val="21"/>
                <w:szCs w:val="22"/>
              </w:rPr>
              <w:t>岁及以上</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spacing w:line="288" w:lineRule="auto"/>
              <w:jc w:val="center"/>
              <w:rPr>
                <w:rFonts w:ascii="Times New Roman" w:hAnsi="Times New Roman"/>
                <w:sz w:val="21"/>
                <w:szCs w:val="21"/>
              </w:rPr>
            </w:pPr>
            <w:r>
              <w:rPr>
                <w:rFonts w:hint="eastAsia" w:ascii="Times New Roman" w:hAnsi="Times New Roman"/>
                <w:sz w:val="21"/>
                <w:szCs w:val="21"/>
              </w:rPr>
              <w:t>学缘</w:t>
            </w:r>
          </w:p>
        </w:tc>
        <w:tc>
          <w:tcPr>
            <w:tcW w:w="2877" w:type="dxa"/>
            <w:gridSpan w:val="2"/>
            <w:vAlign w:val="center"/>
          </w:tcPr>
          <w:p>
            <w:pPr>
              <w:spacing w:line="288" w:lineRule="auto"/>
              <w:jc w:val="center"/>
              <w:rPr>
                <w:rFonts w:ascii="Times New Roman" w:hAnsi="Times New Roman"/>
                <w:sz w:val="21"/>
                <w:szCs w:val="21"/>
              </w:rPr>
            </w:pPr>
            <w:bookmarkStart w:id="62" w:name="OLE_LINK27"/>
            <w:r>
              <w:rPr>
                <w:rFonts w:hint="eastAsia" w:ascii="Times New Roman" w:hAnsi="Times New Roman"/>
                <w:sz w:val="21"/>
                <w:szCs w:val="22"/>
              </w:rPr>
              <w:t>本校</w:t>
            </w:r>
            <w:bookmarkEnd w:id="62"/>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w:t>
            </w:r>
            <w:bookmarkStart w:id="63" w:name="OLE_LINK29"/>
            <w:bookmarkEnd w:id="63"/>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1276" w:type="dxa"/>
            <w:vMerge w:val="restart"/>
            <w:vAlign w:val="center"/>
          </w:tcPr>
          <w:p>
            <w:pPr>
              <w:spacing w:line="288" w:lineRule="auto"/>
              <w:jc w:val="center"/>
              <w:rPr>
                <w:rFonts w:ascii="Times New Roman" w:hAnsi="Times New Roman"/>
                <w:sz w:val="21"/>
                <w:szCs w:val="21"/>
              </w:rPr>
            </w:pPr>
            <w:bookmarkStart w:id="64" w:name="OLE_LINK28"/>
            <w:r>
              <w:rPr>
                <w:rFonts w:hint="eastAsia" w:ascii="Times New Roman" w:hAnsi="Times New Roman"/>
                <w:sz w:val="21"/>
                <w:szCs w:val="22"/>
              </w:rPr>
              <w:t>外校</w:t>
            </w:r>
            <w:bookmarkEnd w:id="64"/>
          </w:p>
        </w:tc>
        <w:tc>
          <w:tcPr>
            <w:tcW w:w="1601" w:type="dxa"/>
            <w:vAlign w:val="center"/>
          </w:tcPr>
          <w:p>
            <w:pPr>
              <w:spacing w:line="288" w:lineRule="auto"/>
              <w:jc w:val="center"/>
              <w:rPr>
                <w:rFonts w:ascii="Times New Roman" w:hAnsi="Times New Roman"/>
                <w:sz w:val="21"/>
                <w:szCs w:val="21"/>
              </w:rPr>
            </w:pPr>
            <w:r>
              <w:rPr>
                <w:rFonts w:hint="eastAsia" w:ascii="Times New Roman" w:hAnsi="Times New Roman"/>
                <w:sz w:val="21"/>
                <w:szCs w:val="22"/>
              </w:rPr>
              <w:t>境内</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13</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spacing w:line="288" w:lineRule="auto"/>
              <w:jc w:val="center"/>
              <w:rPr>
                <w:rFonts w:ascii="Times New Roman" w:hAnsi="Times New Roman"/>
                <w:sz w:val="21"/>
                <w:szCs w:val="21"/>
              </w:rPr>
            </w:pPr>
          </w:p>
        </w:tc>
        <w:tc>
          <w:tcPr>
            <w:tcW w:w="1276" w:type="dxa"/>
            <w:vMerge w:val="continue"/>
            <w:vAlign w:val="center"/>
          </w:tcPr>
          <w:p>
            <w:pPr>
              <w:spacing w:line="288" w:lineRule="auto"/>
              <w:jc w:val="center"/>
              <w:rPr>
                <w:rFonts w:ascii="Times New Roman" w:hAnsi="Times New Roman"/>
                <w:sz w:val="21"/>
                <w:szCs w:val="21"/>
              </w:rPr>
            </w:pPr>
          </w:p>
        </w:tc>
        <w:tc>
          <w:tcPr>
            <w:tcW w:w="1601" w:type="dxa"/>
            <w:vAlign w:val="center"/>
          </w:tcPr>
          <w:p>
            <w:pPr>
              <w:spacing w:line="288" w:lineRule="auto"/>
              <w:jc w:val="center"/>
              <w:rPr>
                <w:rFonts w:ascii="Times New Roman" w:hAnsi="Times New Roman"/>
                <w:sz w:val="21"/>
                <w:szCs w:val="21"/>
              </w:rPr>
            </w:pPr>
            <w:r>
              <w:rPr>
                <w:rFonts w:hint="eastAsia" w:ascii="Times New Roman" w:hAnsi="Times New Roman"/>
                <w:sz w:val="21"/>
                <w:szCs w:val="22"/>
              </w:rPr>
              <w:t>境外</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c>
          <w:tcPr>
            <w:tcW w:w="2074" w:type="dxa"/>
            <w:vAlign w:val="center"/>
          </w:tcPr>
          <w:p>
            <w:pPr>
              <w:spacing w:line="288" w:lineRule="auto"/>
              <w:jc w:val="center"/>
              <w:rPr>
                <w:rFonts w:ascii="Times New Roman" w:hAnsi="Times New Roman"/>
                <w:sz w:val="21"/>
                <w:szCs w:val="21"/>
              </w:rPr>
            </w:pPr>
            <w:r>
              <w:rPr>
                <w:rFonts w:ascii="Times New Roman" w:hAnsi="Times New Roman"/>
                <w:sz w:val="21"/>
                <w:szCs w:val="21"/>
              </w:rPr>
              <w:t>0</w:t>
            </w:r>
          </w:p>
        </w:tc>
      </w:tr>
    </w:tbl>
    <w:p>
      <w:pPr>
        <w:rPr>
          <w:rFonts w:hint="eastAsia" w:ascii="Times New Roman" w:hAnsi="Times New Roman"/>
        </w:rPr>
      </w:pPr>
    </w:p>
    <w:p>
      <w:pPr>
        <w:pStyle w:val="4"/>
        <w:rPr>
          <w:rFonts w:ascii="Times New Roman" w:hAnsi="Times New Roman" w:eastAsia="宋体"/>
          <w:b w:val="0"/>
          <w:bCs w:val="0"/>
          <w:sz w:val="24"/>
          <w:szCs w:val="24"/>
        </w:rPr>
      </w:pPr>
      <w:bookmarkStart w:id="65" w:name="_Toc159705226"/>
      <w:r>
        <w:rPr>
          <w:rFonts w:ascii="Times New Roman" w:hAnsi="Times New Roman" w:eastAsia="宋体"/>
          <w:b w:val="0"/>
          <w:bCs w:val="0"/>
          <w:sz w:val="24"/>
          <w:szCs w:val="24"/>
        </w:rPr>
        <w:t>4.2授课师资分析</w:t>
      </w:r>
      <w:bookmarkEnd w:id="65"/>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4.2.1专业课校内授课教师职称情况分析</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专业课校内授课教师共10</w:t>
      </w:r>
      <w:r>
        <w:rPr>
          <w:rFonts w:ascii="Times New Roman" w:hAnsi="Times New Roman" w:cs="Times New Roman"/>
          <w:szCs w:val="28"/>
        </w:rPr>
        <w:t>6</w:t>
      </w:r>
      <w:r>
        <w:rPr>
          <w:rFonts w:hint="eastAsia" w:ascii="Times New Roman" w:hAnsi="Times New Roman" w:cs="Times New Roman"/>
          <w:szCs w:val="28"/>
        </w:rPr>
        <w:t>人，其中教授1</w:t>
      </w:r>
      <w:r>
        <w:rPr>
          <w:rFonts w:ascii="Times New Roman" w:hAnsi="Times New Roman" w:cs="Times New Roman"/>
          <w:szCs w:val="28"/>
        </w:rPr>
        <w:t>8</w:t>
      </w:r>
      <w:r>
        <w:rPr>
          <w:rFonts w:hint="eastAsia" w:ascii="Times New Roman" w:hAnsi="Times New Roman" w:cs="Times New Roman"/>
          <w:szCs w:val="28"/>
        </w:rPr>
        <w:t>人，占比</w:t>
      </w:r>
      <w:r>
        <w:rPr>
          <w:rFonts w:ascii="Times New Roman" w:hAnsi="Times New Roman" w:cs="Times New Roman"/>
          <w:szCs w:val="28"/>
        </w:rPr>
        <w:t>16.98</w:t>
      </w:r>
      <w:r>
        <w:rPr>
          <w:rFonts w:hint="eastAsia" w:ascii="Times New Roman" w:hAnsi="Times New Roman" w:cs="Times New Roman"/>
          <w:szCs w:val="28"/>
        </w:rPr>
        <w:t>%，副教授为</w:t>
      </w:r>
      <w:r>
        <w:rPr>
          <w:rFonts w:ascii="Times New Roman" w:hAnsi="Times New Roman" w:cs="Times New Roman"/>
          <w:szCs w:val="28"/>
        </w:rPr>
        <w:t>37</w:t>
      </w:r>
      <w:r>
        <w:rPr>
          <w:rFonts w:hint="eastAsia" w:ascii="Times New Roman" w:hAnsi="Times New Roman" w:cs="Times New Roman"/>
          <w:szCs w:val="28"/>
        </w:rPr>
        <w:t>人，占比</w:t>
      </w:r>
      <w:r>
        <w:rPr>
          <w:rFonts w:ascii="Times New Roman" w:hAnsi="Times New Roman" w:cs="Times New Roman"/>
          <w:szCs w:val="28"/>
        </w:rPr>
        <w:t>34.91</w:t>
      </w:r>
      <w:r>
        <w:rPr>
          <w:rFonts w:hint="eastAsia" w:ascii="Times New Roman" w:hAnsi="Times New Roman" w:cs="Times New Roman"/>
          <w:szCs w:val="28"/>
        </w:rPr>
        <w:t>%，讲师44人，占比</w:t>
      </w:r>
      <w:r>
        <w:rPr>
          <w:rFonts w:ascii="Times New Roman" w:hAnsi="Times New Roman" w:cs="Times New Roman"/>
          <w:szCs w:val="28"/>
        </w:rPr>
        <w:t>41.51</w:t>
      </w:r>
      <w:r>
        <w:rPr>
          <w:rFonts w:hint="eastAsia" w:ascii="Times New Roman" w:hAnsi="Times New Roman" w:cs="Times New Roman"/>
          <w:szCs w:val="28"/>
        </w:rPr>
        <w:t>%，其他正高级1人，占比</w:t>
      </w:r>
      <w:r>
        <w:rPr>
          <w:rFonts w:ascii="Times New Roman" w:hAnsi="Times New Roman" w:cs="Times New Roman"/>
          <w:szCs w:val="28"/>
        </w:rPr>
        <w:t>0.94</w:t>
      </w:r>
      <w:r>
        <w:rPr>
          <w:rFonts w:hint="eastAsia" w:ascii="Times New Roman" w:hAnsi="Times New Roman" w:cs="Times New Roman"/>
          <w:szCs w:val="28"/>
        </w:rPr>
        <w:t>%，其他中级数量为6人，占比5.</w:t>
      </w:r>
      <w:r>
        <w:rPr>
          <w:rFonts w:ascii="Times New Roman" w:hAnsi="Times New Roman" w:cs="Times New Roman"/>
          <w:szCs w:val="28"/>
        </w:rPr>
        <w:t>6</w:t>
      </w:r>
      <w:r>
        <w:rPr>
          <w:rFonts w:hint="eastAsia" w:ascii="Times New Roman" w:hAnsi="Times New Roman" w:cs="Times New Roman"/>
          <w:szCs w:val="28"/>
        </w:rPr>
        <w:t>6%；核心课校内授课教师共3</w:t>
      </w:r>
      <w:r>
        <w:rPr>
          <w:rFonts w:ascii="Times New Roman" w:hAnsi="Times New Roman" w:cs="Times New Roman"/>
          <w:szCs w:val="28"/>
        </w:rPr>
        <w:t>1</w:t>
      </w:r>
      <w:r>
        <w:rPr>
          <w:rFonts w:hint="eastAsia" w:ascii="Times New Roman" w:hAnsi="Times New Roman" w:cs="Times New Roman"/>
          <w:szCs w:val="28"/>
        </w:rPr>
        <w:t>人，其中教授</w:t>
      </w:r>
      <w:r>
        <w:rPr>
          <w:rFonts w:ascii="Times New Roman" w:hAnsi="Times New Roman" w:cs="Times New Roman"/>
          <w:szCs w:val="28"/>
        </w:rPr>
        <w:t>5</w:t>
      </w:r>
      <w:r>
        <w:rPr>
          <w:rFonts w:hint="eastAsia" w:ascii="Times New Roman" w:hAnsi="Times New Roman" w:cs="Times New Roman"/>
          <w:szCs w:val="28"/>
        </w:rPr>
        <w:t>人，占比</w:t>
      </w:r>
      <w:r>
        <w:rPr>
          <w:rFonts w:ascii="Times New Roman" w:hAnsi="Times New Roman" w:cs="Times New Roman"/>
          <w:szCs w:val="28"/>
        </w:rPr>
        <w:t>16.13</w:t>
      </w:r>
      <w:r>
        <w:rPr>
          <w:rFonts w:hint="eastAsia" w:ascii="Times New Roman" w:hAnsi="Times New Roman" w:cs="Times New Roman"/>
          <w:szCs w:val="28"/>
        </w:rPr>
        <w:t>%，副教授为1</w:t>
      </w:r>
      <w:r>
        <w:rPr>
          <w:rFonts w:ascii="Times New Roman" w:hAnsi="Times New Roman" w:cs="Times New Roman"/>
          <w:szCs w:val="28"/>
        </w:rPr>
        <w:t>0</w:t>
      </w:r>
      <w:r>
        <w:rPr>
          <w:rFonts w:hint="eastAsia" w:ascii="Times New Roman" w:hAnsi="Times New Roman" w:cs="Times New Roman"/>
          <w:szCs w:val="28"/>
        </w:rPr>
        <w:t>人，占比</w:t>
      </w:r>
      <w:r>
        <w:rPr>
          <w:rFonts w:ascii="Times New Roman" w:hAnsi="Times New Roman" w:cs="Times New Roman"/>
          <w:szCs w:val="28"/>
        </w:rPr>
        <w:t>32.26</w:t>
      </w:r>
      <w:r>
        <w:rPr>
          <w:rFonts w:hint="eastAsia" w:ascii="Times New Roman" w:hAnsi="Times New Roman" w:cs="Times New Roman"/>
          <w:szCs w:val="28"/>
        </w:rPr>
        <w:t>%，讲师1</w:t>
      </w:r>
      <w:r>
        <w:rPr>
          <w:rFonts w:ascii="Times New Roman" w:hAnsi="Times New Roman" w:cs="Times New Roman"/>
          <w:szCs w:val="28"/>
        </w:rPr>
        <w:t>1</w:t>
      </w:r>
      <w:r>
        <w:rPr>
          <w:rFonts w:hint="eastAsia" w:ascii="Times New Roman" w:hAnsi="Times New Roman" w:cs="Times New Roman"/>
          <w:szCs w:val="28"/>
        </w:rPr>
        <w:t>人，占比</w:t>
      </w:r>
      <w:r>
        <w:rPr>
          <w:rFonts w:ascii="Times New Roman" w:hAnsi="Times New Roman" w:cs="Times New Roman"/>
          <w:szCs w:val="28"/>
        </w:rPr>
        <w:t>35.48</w:t>
      </w:r>
      <w:r>
        <w:rPr>
          <w:rFonts w:hint="eastAsia" w:ascii="Times New Roman" w:hAnsi="Times New Roman" w:cs="Times New Roman"/>
          <w:szCs w:val="28"/>
        </w:rPr>
        <w:t>%，其他正高级为1人，占比</w:t>
      </w:r>
      <w:r>
        <w:rPr>
          <w:rFonts w:ascii="Times New Roman" w:hAnsi="Times New Roman" w:cs="Times New Roman"/>
          <w:szCs w:val="28"/>
        </w:rPr>
        <w:t>3.23</w:t>
      </w:r>
      <w:r>
        <w:rPr>
          <w:rFonts w:hint="eastAsia" w:ascii="Times New Roman" w:hAnsi="Times New Roman" w:cs="Times New Roman"/>
          <w:szCs w:val="28"/>
        </w:rPr>
        <w:t>%，其他中级为</w:t>
      </w:r>
      <w:r>
        <w:rPr>
          <w:rFonts w:ascii="Times New Roman" w:hAnsi="Times New Roman" w:cs="Times New Roman"/>
          <w:szCs w:val="28"/>
        </w:rPr>
        <w:t>4</w:t>
      </w:r>
      <w:r>
        <w:rPr>
          <w:rFonts w:hint="eastAsia" w:ascii="Times New Roman" w:hAnsi="Times New Roman" w:cs="Times New Roman"/>
          <w:szCs w:val="28"/>
        </w:rPr>
        <w:t>人，占比</w:t>
      </w:r>
      <w:r>
        <w:rPr>
          <w:rFonts w:ascii="Times New Roman" w:hAnsi="Times New Roman" w:cs="Times New Roman"/>
          <w:szCs w:val="28"/>
        </w:rPr>
        <w:t>12.9</w:t>
      </w:r>
      <w:r>
        <w:rPr>
          <w:rFonts w:hint="eastAsia" w:ascii="Times New Roman" w:hAnsi="Times New Roman" w:cs="Times New Roman"/>
          <w:szCs w:val="28"/>
        </w:rPr>
        <w:t>%。</w:t>
      </w:r>
    </w:p>
    <w:p>
      <w:pPr>
        <w:pStyle w:val="36"/>
        <w:spacing w:before="156" w:after="156"/>
        <w:rPr>
          <w:rFonts w:hint="eastAsia"/>
        </w:rPr>
      </w:pPr>
      <w:r>
        <w:t>表</w:t>
      </w:r>
      <w:r>
        <w:rPr>
          <w:rFonts w:hint="eastAsia"/>
        </w:rPr>
        <w:t>1</w:t>
      </w:r>
      <w:r>
        <w:t xml:space="preserve">4 </w:t>
      </w:r>
      <w:r>
        <w:rPr>
          <w:rFonts w:hint="eastAsia"/>
        </w:rPr>
        <w:t>工商管理</w:t>
      </w:r>
      <w:r>
        <w:t>专业</w:t>
      </w:r>
      <w:r>
        <w:rPr>
          <w:rFonts w:hint="eastAsia"/>
        </w:rPr>
        <w:t>校内授课教师职称分布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bookmarkStart w:id="66" w:name="OLE_LINK33"/>
            <w:r>
              <w:rPr>
                <w:rFonts w:hint="eastAsia" w:ascii="Times New Roman" w:hAnsi="Times New Roman"/>
                <w:sz w:val="21"/>
                <w:szCs w:val="21"/>
              </w:rPr>
              <w:t>核心课授课</w:t>
            </w:r>
            <w:bookmarkEnd w:id="66"/>
            <w:r>
              <w:rPr>
                <w:rFonts w:hint="eastAsia" w:ascii="Times New Roman" w:hAnsi="Times New Roman"/>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总数</w:t>
            </w:r>
          </w:p>
        </w:tc>
        <w:tc>
          <w:tcPr>
            <w:tcW w:w="1821" w:type="dxa"/>
            <w:vAlign w:val="center"/>
          </w:tcPr>
          <w:p>
            <w:pPr>
              <w:jc w:val="center"/>
              <w:rPr>
                <w:rFonts w:ascii="Times New Roman" w:hAnsi="Times New Roman"/>
                <w:sz w:val="21"/>
                <w:szCs w:val="21"/>
              </w:rPr>
            </w:pPr>
            <w:r>
              <w:rPr>
                <w:rFonts w:ascii="Times New Roman" w:hAnsi="Times New Roman"/>
                <w:sz w:val="21"/>
                <w:szCs w:val="21"/>
              </w:rPr>
              <w:t>106</w:t>
            </w:r>
          </w:p>
        </w:tc>
        <w:tc>
          <w:tcPr>
            <w:tcW w:w="1822" w:type="dxa"/>
            <w:vAlign w:val="center"/>
          </w:tcPr>
          <w:p>
            <w:pPr>
              <w:jc w:val="center"/>
              <w:rPr>
                <w:rFonts w:ascii="Times New Roman" w:hAnsi="Times New Roman"/>
                <w:sz w:val="21"/>
                <w:szCs w:val="21"/>
              </w:rPr>
            </w:pPr>
            <w:r>
              <w:rPr>
                <w:rFonts w:hint="eastAsia" w:ascii="Times New Roman" w:hAnsi="Times New Roman"/>
                <w:sz w:val="21"/>
                <w:szCs w:val="21"/>
              </w:rPr>
              <w:t>/</w:t>
            </w:r>
          </w:p>
        </w:tc>
        <w:tc>
          <w:tcPr>
            <w:tcW w:w="2060" w:type="dxa"/>
            <w:vAlign w:val="center"/>
          </w:tcPr>
          <w:p>
            <w:pPr>
              <w:jc w:val="center"/>
              <w:rPr>
                <w:rFonts w:ascii="Times New Roman" w:hAnsi="Times New Roman"/>
                <w:sz w:val="21"/>
                <w:szCs w:val="21"/>
              </w:rPr>
            </w:pPr>
            <w:r>
              <w:rPr>
                <w:rFonts w:ascii="Times New Roman" w:hAnsi="Times New Roman"/>
                <w:sz w:val="21"/>
                <w:szCs w:val="21"/>
              </w:rPr>
              <w:t>31</w:t>
            </w:r>
          </w:p>
        </w:tc>
        <w:tc>
          <w:tcPr>
            <w:tcW w:w="2060" w:type="dxa"/>
            <w:vAlign w:val="center"/>
          </w:tcPr>
          <w:p>
            <w:pPr>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教授</w:t>
            </w:r>
          </w:p>
        </w:tc>
        <w:tc>
          <w:tcPr>
            <w:tcW w:w="1821" w:type="dxa"/>
            <w:vAlign w:val="center"/>
          </w:tcPr>
          <w:p>
            <w:pPr>
              <w:jc w:val="center"/>
              <w:rPr>
                <w:rFonts w:ascii="Times New Roman" w:hAnsi="Times New Roman"/>
                <w:sz w:val="21"/>
                <w:szCs w:val="21"/>
              </w:rPr>
            </w:pPr>
            <w:r>
              <w:rPr>
                <w:rFonts w:ascii="Times New Roman" w:hAnsi="Times New Roman"/>
                <w:sz w:val="21"/>
                <w:szCs w:val="21"/>
              </w:rPr>
              <w:t>18</w:t>
            </w:r>
          </w:p>
        </w:tc>
        <w:tc>
          <w:tcPr>
            <w:tcW w:w="1822" w:type="dxa"/>
            <w:vAlign w:val="center"/>
          </w:tcPr>
          <w:p>
            <w:pPr>
              <w:jc w:val="center"/>
              <w:rPr>
                <w:rFonts w:ascii="Times New Roman" w:hAnsi="Times New Roman"/>
                <w:sz w:val="21"/>
                <w:szCs w:val="21"/>
              </w:rPr>
            </w:pPr>
            <w:r>
              <w:rPr>
                <w:rFonts w:ascii="Times New Roman" w:hAnsi="Times New Roman"/>
                <w:sz w:val="21"/>
                <w:szCs w:val="21"/>
              </w:rPr>
              <w:t>16.98</w:t>
            </w:r>
          </w:p>
        </w:tc>
        <w:tc>
          <w:tcPr>
            <w:tcW w:w="2060" w:type="dxa"/>
            <w:vAlign w:val="center"/>
          </w:tcPr>
          <w:p>
            <w:pPr>
              <w:jc w:val="center"/>
              <w:rPr>
                <w:rFonts w:ascii="Times New Roman" w:hAnsi="Times New Roman"/>
                <w:sz w:val="21"/>
                <w:szCs w:val="21"/>
              </w:rPr>
            </w:pPr>
            <w:r>
              <w:rPr>
                <w:rFonts w:ascii="Times New Roman" w:hAnsi="Times New Roman"/>
                <w:sz w:val="21"/>
                <w:szCs w:val="21"/>
              </w:rPr>
              <w:t>5</w:t>
            </w:r>
          </w:p>
        </w:tc>
        <w:tc>
          <w:tcPr>
            <w:tcW w:w="2060" w:type="dxa"/>
            <w:vAlign w:val="center"/>
          </w:tcPr>
          <w:p>
            <w:pPr>
              <w:jc w:val="center"/>
              <w:rPr>
                <w:rFonts w:ascii="Times New Roman" w:hAnsi="Times New Roman"/>
                <w:sz w:val="21"/>
                <w:szCs w:val="21"/>
              </w:rPr>
            </w:pPr>
            <w:r>
              <w:rPr>
                <w:rFonts w:ascii="Times New Roman" w:hAnsi="Times New Roman"/>
                <w:sz w:val="21"/>
                <w:szCs w:val="21"/>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副教授</w:t>
            </w:r>
          </w:p>
        </w:tc>
        <w:tc>
          <w:tcPr>
            <w:tcW w:w="1821" w:type="dxa"/>
            <w:vAlign w:val="center"/>
          </w:tcPr>
          <w:p>
            <w:pPr>
              <w:jc w:val="center"/>
              <w:rPr>
                <w:rFonts w:ascii="Times New Roman" w:hAnsi="Times New Roman"/>
                <w:sz w:val="21"/>
                <w:szCs w:val="21"/>
              </w:rPr>
            </w:pPr>
            <w:r>
              <w:rPr>
                <w:rFonts w:ascii="Times New Roman" w:hAnsi="Times New Roman"/>
                <w:sz w:val="21"/>
                <w:szCs w:val="21"/>
              </w:rPr>
              <w:t>37</w:t>
            </w:r>
          </w:p>
        </w:tc>
        <w:tc>
          <w:tcPr>
            <w:tcW w:w="1822" w:type="dxa"/>
            <w:vAlign w:val="center"/>
          </w:tcPr>
          <w:p>
            <w:pPr>
              <w:jc w:val="center"/>
              <w:rPr>
                <w:rFonts w:ascii="Times New Roman" w:hAnsi="Times New Roman"/>
                <w:sz w:val="21"/>
                <w:szCs w:val="21"/>
              </w:rPr>
            </w:pPr>
            <w:r>
              <w:rPr>
                <w:rFonts w:ascii="Times New Roman" w:hAnsi="Times New Roman"/>
                <w:sz w:val="21"/>
                <w:szCs w:val="21"/>
              </w:rPr>
              <w:t>34.91</w:t>
            </w:r>
          </w:p>
        </w:tc>
        <w:tc>
          <w:tcPr>
            <w:tcW w:w="2060" w:type="dxa"/>
            <w:vAlign w:val="center"/>
          </w:tcPr>
          <w:p>
            <w:pPr>
              <w:jc w:val="center"/>
              <w:rPr>
                <w:rFonts w:ascii="Times New Roman" w:hAnsi="Times New Roman"/>
                <w:sz w:val="21"/>
                <w:szCs w:val="21"/>
              </w:rPr>
            </w:pPr>
            <w:r>
              <w:rPr>
                <w:rFonts w:ascii="Times New Roman" w:hAnsi="Times New Roman"/>
                <w:sz w:val="21"/>
                <w:szCs w:val="21"/>
              </w:rPr>
              <w:t>10</w:t>
            </w:r>
          </w:p>
        </w:tc>
        <w:tc>
          <w:tcPr>
            <w:tcW w:w="2060" w:type="dxa"/>
            <w:vAlign w:val="center"/>
          </w:tcPr>
          <w:p>
            <w:pPr>
              <w:jc w:val="center"/>
              <w:rPr>
                <w:rFonts w:ascii="Times New Roman" w:hAnsi="Times New Roman"/>
                <w:sz w:val="21"/>
                <w:szCs w:val="21"/>
              </w:rPr>
            </w:pPr>
            <w:r>
              <w:rPr>
                <w:rFonts w:ascii="Times New Roman" w:hAnsi="Times New Roman"/>
                <w:sz w:val="21"/>
                <w:szCs w:val="21"/>
              </w:rPr>
              <w:t>32.26</w:t>
            </w:r>
            <w:bookmarkStart w:id="67" w:name="OLE_LINK34"/>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讲师</w:t>
            </w:r>
          </w:p>
        </w:tc>
        <w:tc>
          <w:tcPr>
            <w:tcW w:w="1821" w:type="dxa"/>
            <w:vAlign w:val="center"/>
          </w:tcPr>
          <w:p>
            <w:pPr>
              <w:jc w:val="center"/>
              <w:rPr>
                <w:rFonts w:ascii="Times New Roman" w:hAnsi="Times New Roman"/>
                <w:sz w:val="21"/>
                <w:szCs w:val="21"/>
              </w:rPr>
            </w:pPr>
            <w:r>
              <w:rPr>
                <w:rFonts w:ascii="Times New Roman" w:hAnsi="Times New Roman"/>
                <w:sz w:val="21"/>
                <w:szCs w:val="21"/>
              </w:rPr>
              <w:t>44</w:t>
            </w:r>
          </w:p>
        </w:tc>
        <w:tc>
          <w:tcPr>
            <w:tcW w:w="1822" w:type="dxa"/>
            <w:vAlign w:val="center"/>
          </w:tcPr>
          <w:p>
            <w:pPr>
              <w:jc w:val="center"/>
              <w:rPr>
                <w:rFonts w:ascii="Times New Roman" w:hAnsi="Times New Roman"/>
                <w:sz w:val="21"/>
                <w:szCs w:val="21"/>
              </w:rPr>
            </w:pPr>
            <w:r>
              <w:rPr>
                <w:rFonts w:ascii="Times New Roman" w:hAnsi="Times New Roman"/>
                <w:sz w:val="21"/>
                <w:szCs w:val="21"/>
              </w:rPr>
              <w:t>41.51</w:t>
            </w:r>
          </w:p>
        </w:tc>
        <w:tc>
          <w:tcPr>
            <w:tcW w:w="2060" w:type="dxa"/>
            <w:vAlign w:val="center"/>
          </w:tcPr>
          <w:p>
            <w:pPr>
              <w:jc w:val="center"/>
              <w:rPr>
                <w:rFonts w:ascii="Times New Roman" w:hAnsi="Times New Roman"/>
                <w:sz w:val="21"/>
                <w:szCs w:val="21"/>
              </w:rPr>
            </w:pPr>
            <w:r>
              <w:rPr>
                <w:rFonts w:ascii="Times New Roman" w:hAnsi="Times New Roman"/>
                <w:sz w:val="21"/>
                <w:szCs w:val="21"/>
              </w:rPr>
              <w:t>11</w:t>
            </w:r>
          </w:p>
        </w:tc>
        <w:tc>
          <w:tcPr>
            <w:tcW w:w="2060" w:type="dxa"/>
            <w:vAlign w:val="center"/>
          </w:tcPr>
          <w:p>
            <w:pPr>
              <w:jc w:val="center"/>
              <w:rPr>
                <w:rFonts w:ascii="Times New Roman" w:hAnsi="Times New Roman"/>
                <w:sz w:val="21"/>
                <w:szCs w:val="21"/>
              </w:rPr>
            </w:pPr>
            <w:r>
              <w:rPr>
                <w:rFonts w:ascii="Times New Roman" w:hAnsi="Times New Roman"/>
                <w:sz w:val="21"/>
                <w:szCs w:val="21"/>
              </w:rPr>
              <w:t>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助教</w:t>
            </w:r>
          </w:p>
        </w:tc>
        <w:tc>
          <w:tcPr>
            <w:tcW w:w="1821" w:type="dxa"/>
            <w:vAlign w:val="center"/>
          </w:tcPr>
          <w:p>
            <w:pPr>
              <w:jc w:val="center"/>
              <w:rPr>
                <w:rFonts w:ascii="Times New Roman" w:hAnsi="Times New Roman"/>
                <w:sz w:val="21"/>
                <w:szCs w:val="21"/>
              </w:rPr>
            </w:pPr>
            <w:r>
              <w:rPr>
                <w:rFonts w:ascii="Times New Roman" w:hAnsi="Times New Roman"/>
                <w:sz w:val="21"/>
                <w:szCs w:val="21"/>
              </w:rPr>
              <w:t>0</w:t>
            </w:r>
          </w:p>
        </w:tc>
        <w:tc>
          <w:tcPr>
            <w:tcW w:w="1822"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其他正高级</w:t>
            </w:r>
          </w:p>
        </w:tc>
        <w:tc>
          <w:tcPr>
            <w:tcW w:w="1821" w:type="dxa"/>
            <w:vAlign w:val="center"/>
          </w:tcPr>
          <w:p>
            <w:pPr>
              <w:jc w:val="center"/>
              <w:rPr>
                <w:rFonts w:ascii="Times New Roman" w:hAnsi="Times New Roman"/>
                <w:sz w:val="21"/>
                <w:szCs w:val="21"/>
              </w:rPr>
            </w:pPr>
            <w:r>
              <w:rPr>
                <w:rFonts w:ascii="Times New Roman" w:hAnsi="Times New Roman"/>
                <w:sz w:val="21"/>
                <w:szCs w:val="21"/>
              </w:rPr>
              <w:t>1</w:t>
            </w:r>
          </w:p>
        </w:tc>
        <w:tc>
          <w:tcPr>
            <w:tcW w:w="1822" w:type="dxa"/>
            <w:vAlign w:val="center"/>
          </w:tcPr>
          <w:p>
            <w:pPr>
              <w:jc w:val="center"/>
              <w:rPr>
                <w:rFonts w:ascii="Times New Roman" w:hAnsi="Times New Roman"/>
                <w:sz w:val="21"/>
                <w:szCs w:val="21"/>
              </w:rPr>
            </w:pPr>
            <w:r>
              <w:rPr>
                <w:rFonts w:ascii="Times New Roman" w:hAnsi="Times New Roman"/>
                <w:sz w:val="21"/>
                <w:szCs w:val="21"/>
              </w:rPr>
              <w:t>0.94</w:t>
            </w:r>
          </w:p>
        </w:tc>
        <w:tc>
          <w:tcPr>
            <w:tcW w:w="2060" w:type="dxa"/>
            <w:vAlign w:val="center"/>
          </w:tcPr>
          <w:p>
            <w:pPr>
              <w:jc w:val="center"/>
              <w:rPr>
                <w:rFonts w:ascii="Times New Roman" w:hAnsi="Times New Roman"/>
                <w:sz w:val="21"/>
                <w:szCs w:val="21"/>
              </w:rPr>
            </w:pPr>
            <w:r>
              <w:rPr>
                <w:rFonts w:ascii="Times New Roman" w:hAnsi="Times New Roman"/>
                <w:sz w:val="21"/>
                <w:szCs w:val="21"/>
              </w:rPr>
              <w:t>1</w:t>
            </w:r>
          </w:p>
        </w:tc>
        <w:tc>
          <w:tcPr>
            <w:tcW w:w="2060" w:type="dxa"/>
            <w:vAlign w:val="center"/>
          </w:tcPr>
          <w:p>
            <w:pPr>
              <w:jc w:val="center"/>
              <w:rPr>
                <w:rFonts w:ascii="Times New Roman" w:hAnsi="Times New Roman"/>
                <w:sz w:val="21"/>
                <w:szCs w:val="21"/>
              </w:rPr>
            </w:pPr>
            <w:r>
              <w:rPr>
                <w:rFonts w:ascii="Times New Roman" w:hAnsi="Times New Roman"/>
                <w:sz w:val="21"/>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其他副高级</w:t>
            </w:r>
          </w:p>
        </w:tc>
        <w:tc>
          <w:tcPr>
            <w:tcW w:w="1821" w:type="dxa"/>
            <w:vAlign w:val="center"/>
          </w:tcPr>
          <w:p>
            <w:pPr>
              <w:jc w:val="center"/>
              <w:rPr>
                <w:rFonts w:ascii="Times New Roman" w:hAnsi="Times New Roman"/>
                <w:sz w:val="21"/>
                <w:szCs w:val="21"/>
              </w:rPr>
            </w:pPr>
            <w:r>
              <w:rPr>
                <w:rFonts w:ascii="Times New Roman" w:hAnsi="Times New Roman"/>
                <w:sz w:val="21"/>
                <w:szCs w:val="21"/>
              </w:rPr>
              <w:t>0</w:t>
            </w:r>
          </w:p>
        </w:tc>
        <w:tc>
          <w:tcPr>
            <w:tcW w:w="1822"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其他中级</w:t>
            </w:r>
          </w:p>
        </w:tc>
        <w:tc>
          <w:tcPr>
            <w:tcW w:w="1821" w:type="dxa"/>
            <w:vAlign w:val="center"/>
          </w:tcPr>
          <w:p>
            <w:pPr>
              <w:jc w:val="center"/>
              <w:rPr>
                <w:rFonts w:ascii="Times New Roman" w:hAnsi="Times New Roman"/>
                <w:sz w:val="21"/>
                <w:szCs w:val="21"/>
              </w:rPr>
            </w:pPr>
            <w:r>
              <w:rPr>
                <w:rFonts w:ascii="Times New Roman" w:hAnsi="Times New Roman"/>
                <w:sz w:val="21"/>
                <w:szCs w:val="21"/>
              </w:rPr>
              <w:t>6</w:t>
            </w:r>
          </w:p>
        </w:tc>
        <w:tc>
          <w:tcPr>
            <w:tcW w:w="1822" w:type="dxa"/>
            <w:vAlign w:val="center"/>
          </w:tcPr>
          <w:p>
            <w:pPr>
              <w:jc w:val="center"/>
              <w:rPr>
                <w:rFonts w:ascii="Times New Roman" w:hAnsi="Times New Roman"/>
                <w:sz w:val="21"/>
                <w:szCs w:val="21"/>
              </w:rPr>
            </w:pPr>
            <w:r>
              <w:rPr>
                <w:rFonts w:ascii="Times New Roman" w:hAnsi="Times New Roman"/>
                <w:sz w:val="21"/>
                <w:szCs w:val="21"/>
              </w:rPr>
              <w:t>5.66</w:t>
            </w:r>
          </w:p>
        </w:tc>
        <w:tc>
          <w:tcPr>
            <w:tcW w:w="2060" w:type="dxa"/>
            <w:vAlign w:val="center"/>
          </w:tcPr>
          <w:p>
            <w:pPr>
              <w:jc w:val="center"/>
              <w:rPr>
                <w:rFonts w:ascii="Times New Roman" w:hAnsi="Times New Roman"/>
                <w:sz w:val="21"/>
                <w:szCs w:val="21"/>
              </w:rPr>
            </w:pPr>
            <w:r>
              <w:rPr>
                <w:rFonts w:ascii="Times New Roman" w:hAnsi="Times New Roman"/>
                <w:sz w:val="21"/>
                <w:szCs w:val="21"/>
              </w:rPr>
              <w:t>4</w:t>
            </w:r>
          </w:p>
        </w:tc>
        <w:tc>
          <w:tcPr>
            <w:tcW w:w="2060" w:type="dxa"/>
            <w:vAlign w:val="center"/>
          </w:tcPr>
          <w:p>
            <w:pPr>
              <w:jc w:val="center"/>
              <w:rPr>
                <w:rFonts w:ascii="Times New Roman" w:hAnsi="Times New Roman"/>
                <w:sz w:val="21"/>
                <w:szCs w:val="21"/>
              </w:rPr>
            </w:pPr>
            <w:r>
              <w:rPr>
                <w:rFonts w:ascii="Times New Roman" w:hAnsi="Times New Roman"/>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其他初级</w:t>
            </w:r>
          </w:p>
        </w:tc>
        <w:tc>
          <w:tcPr>
            <w:tcW w:w="1821" w:type="dxa"/>
            <w:vAlign w:val="center"/>
          </w:tcPr>
          <w:p>
            <w:pPr>
              <w:jc w:val="center"/>
              <w:rPr>
                <w:rFonts w:ascii="Times New Roman" w:hAnsi="Times New Roman"/>
                <w:sz w:val="21"/>
                <w:szCs w:val="21"/>
              </w:rPr>
            </w:pPr>
            <w:r>
              <w:rPr>
                <w:rFonts w:ascii="Times New Roman" w:hAnsi="Times New Roman"/>
                <w:sz w:val="21"/>
                <w:szCs w:val="21"/>
              </w:rPr>
              <w:t>0</w:t>
            </w:r>
          </w:p>
        </w:tc>
        <w:tc>
          <w:tcPr>
            <w:tcW w:w="1822"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Times New Roman" w:hAnsi="Times New Roman"/>
                <w:sz w:val="21"/>
                <w:szCs w:val="21"/>
              </w:rPr>
            </w:pPr>
            <w:r>
              <w:rPr>
                <w:rFonts w:hint="eastAsia" w:ascii="Times New Roman" w:hAnsi="Times New Roman"/>
                <w:sz w:val="21"/>
                <w:szCs w:val="21"/>
              </w:rPr>
              <w:t>未评级</w:t>
            </w:r>
          </w:p>
        </w:tc>
        <w:tc>
          <w:tcPr>
            <w:tcW w:w="1821" w:type="dxa"/>
            <w:vAlign w:val="center"/>
          </w:tcPr>
          <w:p>
            <w:pPr>
              <w:jc w:val="center"/>
              <w:rPr>
                <w:rFonts w:ascii="Times New Roman" w:hAnsi="Times New Roman"/>
                <w:sz w:val="21"/>
                <w:szCs w:val="21"/>
              </w:rPr>
            </w:pPr>
            <w:r>
              <w:rPr>
                <w:rFonts w:ascii="Times New Roman" w:hAnsi="Times New Roman"/>
                <w:sz w:val="21"/>
                <w:szCs w:val="21"/>
              </w:rPr>
              <w:t>0</w:t>
            </w:r>
          </w:p>
        </w:tc>
        <w:tc>
          <w:tcPr>
            <w:tcW w:w="1822"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c>
          <w:tcPr>
            <w:tcW w:w="2060" w:type="dxa"/>
            <w:vAlign w:val="center"/>
          </w:tcPr>
          <w:p>
            <w:pPr>
              <w:jc w:val="center"/>
              <w:rPr>
                <w:rFonts w:ascii="Times New Roman" w:hAnsi="Times New Roman"/>
                <w:sz w:val="21"/>
                <w:szCs w:val="21"/>
              </w:rPr>
            </w:pPr>
            <w:r>
              <w:rPr>
                <w:rFonts w:ascii="Times New Roman" w:hAnsi="Times New Roman"/>
                <w:sz w:val="21"/>
                <w:szCs w:val="21"/>
              </w:rPr>
              <w:t>0</w:t>
            </w:r>
          </w:p>
        </w:tc>
      </w:tr>
    </w:tbl>
    <w:p>
      <w:pPr>
        <w:rPr>
          <w:rFonts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4.2.2专业课校内授课教师最高学位情况分析</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专业课校内授课教师中最高学位为博士的为8</w:t>
      </w:r>
      <w:r>
        <w:rPr>
          <w:rFonts w:ascii="Times New Roman" w:hAnsi="Times New Roman" w:cs="Times New Roman"/>
          <w:szCs w:val="28"/>
        </w:rPr>
        <w:t>4</w:t>
      </w:r>
      <w:r>
        <w:rPr>
          <w:rFonts w:hint="eastAsia" w:ascii="Times New Roman" w:hAnsi="Times New Roman" w:cs="Times New Roman"/>
          <w:szCs w:val="28"/>
        </w:rPr>
        <w:t>人，占比</w:t>
      </w:r>
      <w:r>
        <w:rPr>
          <w:rFonts w:ascii="Times New Roman" w:hAnsi="Times New Roman" w:cs="Times New Roman"/>
          <w:szCs w:val="28"/>
        </w:rPr>
        <w:t>79.25</w:t>
      </w:r>
      <w:r>
        <w:rPr>
          <w:rFonts w:hint="eastAsia" w:ascii="Times New Roman" w:hAnsi="Times New Roman" w:cs="Times New Roman"/>
          <w:szCs w:val="28"/>
        </w:rPr>
        <w:t>%，最高学位为硕士的为2</w:t>
      </w:r>
      <w:r>
        <w:rPr>
          <w:rFonts w:ascii="Times New Roman" w:hAnsi="Times New Roman" w:cs="Times New Roman"/>
          <w:szCs w:val="28"/>
        </w:rPr>
        <w:t>2</w:t>
      </w:r>
      <w:r>
        <w:rPr>
          <w:rFonts w:hint="eastAsia" w:ascii="Times New Roman" w:hAnsi="Times New Roman" w:cs="Times New Roman"/>
          <w:szCs w:val="28"/>
        </w:rPr>
        <w:t>人，占比</w:t>
      </w:r>
      <w:r>
        <w:rPr>
          <w:rFonts w:ascii="Times New Roman" w:hAnsi="Times New Roman" w:cs="Times New Roman"/>
          <w:szCs w:val="28"/>
        </w:rPr>
        <w:t>20.75</w:t>
      </w:r>
      <w:r>
        <w:rPr>
          <w:rFonts w:hint="eastAsia" w:ascii="Times New Roman" w:hAnsi="Times New Roman" w:cs="Times New Roman"/>
          <w:szCs w:val="28"/>
        </w:rPr>
        <w:t>%；核心课校内授课教师共</w:t>
      </w:r>
      <w:r>
        <w:rPr>
          <w:rFonts w:ascii="Times New Roman" w:hAnsi="Times New Roman" w:cs="Times New Roman"/>
          <w:szCs w:val="28"/>
        </w:rPr>
        <w:t>31</w:t>
      </w:r>
      <w:r>
        <w:rPr>
          <w:rFonts w:hint="eastAsia" w:ascii="Times New Roman" w:hAnsi="Times New Roman" w:cs="Times New Roman"/>
          <w:szCs w:val="28"/>
        </w:rPr>
        <w:t>人，其中最高学位为博士的为29人，占比</w:t>
      </w:r>
      <w:r>
        <w:rPr>
          <w:rFonts w:ascii="Times New Roman" w:hAnsi="Times New Roman" w:cs="Times New Roman"/>
          <w:szCs w:val="28"/>
        </w:rPr>
        <w:t>70.97</w:t>
      </w:r>
      <w:r>
        <w:rPr>
          <w:rFonts w:hint="eastAsia" w:ascii="Times New Roman" w:hAnsi="Times New Roman" w:cs="Times New Roman"/>
          <w:szCs w:val="28"/>
        </w:rPr>
        <w:t>%，最高学位为硕士的为</w:t>
      </w:r>
      <w:r>
        <w:rPr>
          <w:rFonts w:ascii="Times New Roman" w:hAnsi="Times New Roman" w:cs="Times New Roman"/>
          <w:szCs w:val="28"/>
        </w:rPr>
        <w:t>9</w:t>
      </w:r>
      <w:r>
        <w:rPr>
          <w:rFonts w:hint="eastAsia" w:ascii="Times New Roman" w:hAnsi="Times New Roman" w:cs="Times New Roman"/>
          <w:szCs w:val="28"/>
        </w:rPr>
        <w:t>人，占比</w:t>
      </w:r>
      <w:r>
        <w:rPr>
          <w:rFonts w:ascii="Times New Roman" w:hAnsi="Times New Roman" w:cs="Times New Roman"/>
          <w:szCs w:val="28"/>
        </w:rPr>
        <w:t>29.03</w:t>
      </w:r>
      <w:r>
        <w:rPr>
          <w:rFonts w:hint="eastAsia" w:ascii="Times New Roman" w:hAnsi="Times New Roman" w:cs="Times New Roman"/>
          <w:szCs w:val="28"/>
        </w:rPr>
        <w:t>%。</w:t>
      </w:r>
    </w:p>
    <w:p>
      <w:pPr>
        <w:pStyle w:val="36"/>
        <w:spacing w:before="156" w:after="156"/>
        <w:rPr>
          <w:rFonts w:hint="eastAsia"/>
        </w:rPr>
      </w:pPr>
      <w:r>
        <w:t>表</w:t>
      </w:r>
      <w:r>
        <w:rPr>
          <w:rFonts w:hint="eastAsia"/>
        </w:rPr>
        <w:t>1</w:t>
      </w:r>
      <w:r>
        <w:t xml:space="preserve">5 </w:t>
      </w:r>
      <w:r>
        <w:rPr>
          <w:rFonts w:hint="eastAsia"/>
        </w:rPr>
        <w:t>工商管理</w:t>
      </w:r>
      <w:r>
        <w:t>专业</w:t>
      </w:r>
      <w:r>
        <w:rPr>
          <w:rFonts w:hint="eastAsia"/>
        </w:rPr>
        <w:t>校内授课教师学位分布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ascii="Times New Roman" w:hAnsi="Times New Roman"/>
                <w:sz w:val="21"/>
                <w:szCs w:val="21"/>
              </w:rPr>
            </w:pPr>
            <w:r>
              <w:rPr>
                <w:rFonts w:hint="eastAsia" w:ascii="Times New Roman" w:hAnsi="Times New Roman"/>
                <w:sz w:val="21"/>
                <w:szCs w:val="22"/>
              </w:rPr>
              <w:t>博士</w:t>
            </w:r>
          </w:p>
        </w:tc>
        <w:tc>
          <w:tcPr>
            <w:tcW w:w="1776" w:type="dxa"/>
            <w:vAlign w:val="center"/>
          </w:tcPr>
          <w:p>
            <w:pPr>
              <w:jc w:val="center"/>
              <w:rPr>
                <w:rFonts w:ascii="Times New Roman" w:hAnsi="Times New Roman"/>
                <w:sz w:val="21"/>
                <w:szCs w:val="21"/>
              </w:rPr>
            </w:pPr>
            <w:r>
              <w:rPr>
                <w:rFonts w:ascii="Times New Roman" w:hAnsi="Times New Roman"/>
                <w:sz w:val="21"/>
                <w:szCs w:val="21"/>
              </w:rPr>
              <w:t>84</w:t>
            </w:r>
          </w:p>
        </w:tc>
        <w:tc>
          <w:tcPr>
            <w:tcW w:w="1628" w:type="dxa"/>
            <w:vAlign w:val="center"/>
          </w:tcPr>
          <w:p>
            <w:pPr>
              <w:jc w:val="center"/>
              <w:rPr>
                <w:rFonts w:ascii="Times New Roman" w:hAnsi="Times New Roman"/>
                <w:sz w:val="21"/>
                <w:szCs w:val="21"/>
              </w:rPr>
            </w:pPr>
            <w:r>
              <w:rPr>
                <w:rFonts w:ascii="Times New Roman" w:hAnsi="Times New Roman"/>
                <w:sz w:val="21"/>
                <w:szCs w:val="21"/>
              </w:rPr>
              <w:t>79.25</w:t>
            </w:r>
          </w:p>
        </w:tc>
        <w:tc>
          <w:tcPr>
            <w:tcW w:w="2074" w:type="dxa"/>
            <w:vAlign w:val="center"/>
          </w:tcPr>
          <w:p>
            <w:pPr>
              <w:jc w:val="center"/>
              <w:rPr>
                <w:rFonts w:ascii="Times New Roman" w:hAnsi="Times New Roman"/>
                <w:sz w:val="21"/>
                <w:szCs w:val="21"/>
              </w:rPr>
            </w:pPr>
            <w:r>
              <w:rPr>
                <w:rFonts w:ascii="Times New Roman" w:hAnsi="Times New Roman"/>
                <w:sz w:val="21"/>
                <w:szCs w:val="21"/>
              </w:rPr>
              <w:t>22</w:t>
            </w:r>
          </w:p>
        </w:tc>
        <w:tc>
          <w:tcPr>
            <w:tcW w:w="1925" w:type="dxa"/>
            <w:vAlign w:val="center"/>
          </w:tcPr>
          <w:p>
            <w:pPr>
              <w:jc w:val="center"/>
              <w:rPr>
                <w:rFonts w:ascii="Times New Roman" w:hAnsi="Times New Roman"/>
                <w:sz w:val="21"/>
                <w:szCs w:val="21"/>
              </w:rPr>
            </w:pPr>
            <w:r>
              <w:rPr>
                <w:rFonts w:ascii="Times New Roman" w:hAnsi="Times New Roman"/>
                <w:sz w:val="21"/>
                <w:szCs w:val="21"/>
              </w:rPr>
              <w:t>70.97</w:t>
            </w:r>
            <w:bookmarkStart w:id="68" w:name="OLE_LINK36"/>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ascii="Times New Roman" w:hAnsi="Times New Roman"/>
                <w:sz w:val="21"/>
                <w:szCs w:val="21"/>
              </w:rPr>
            </w:pPr>
            <w:r>
              <w:rPr>
                <w:rFonts w:hint="eastAsia" w:ascii="Times New Roman" w:hAnsi="Times New Roman"/>
                <w:sz w:val="21"/>
                <w:szCs w:val="22"/>
              </w:rPr>
              <w:t>硕士</w:t>
            </w:r>
          </w:p>
        </w:tc>
        <w:tc>
          <w:tcPr>
            <w:tcW w:w="1776" w:type="dxa"/>
            <w:vAlign w:val="center"/>
          </w:tcPr>
          <w:p>
            <w:pPr>
              <w:jc w:val="center"/>
              <w:rPr>
                <w:rFonts w:ascii="Times New Roman" w:hAnsi="Times New Roman"/>
                <w:sz w:val="21"/>
                <w:szCs w:val="21"/>
              </w:rPr>
            </w:pPr>
            <w:r>
              <w:rPr>
                <w:rFonts w:ascii="Times New Roman" w:hAnsi="Times New Roman"/>
                <w:sz w:val="21"/>
                <w:szCs w:val="21"/>
              </w:rPr>
              <w:t>22</w:t>
            </w:r>
          </w:p>
        </w:tc>
        <w:tc>
          <w:tcPr>
            <w:tcW w:w="1628" w:type="dxa"/>
            <w:vAlign w:val="center"/>
          </w:tcPr>
          <w:p>
            <w:pPr>
              <w:jc w:val="center"/>
              <w:rPr>
                <w:rFonts w:ascii="Times New Roman" w:hAnsi="Times New Roman"/>
                <w:sz w:val="21"/>
                <w:szCs w:val="21"/>
              </w:rPr>
            </w:pPr>
            <w:r>
              <w:rPr>
                <w:rFonts w:ascii="Times New Roman" w:hAnsi="Times New Roman"/>
                <w:sz w:val="21"/>
                <w:szCs w:val="21"/>
              </w:rPr>
              <w:t>20.75</w:t>
            </w:r>
            <w:bookmarkStart w:id="69" w:name="OLE_LINK35"/>
            <w:bookmarkEnd w:id="69"/>
          </w:p>
        </w:tc>
        <w:tc>
          <w:tcPr>
            <w:tcW w:w="2074" w:type="dxa"/>
            <w:vAlign w:val="center"/>
          </w:tcPr>
          <w:p>
            <w:pPr>
              <w:jc w:val="center"/>
              <w:rPr>
                <w:rFonts w:ascii="Times New Roman" w:hAnsi="Times New Roman"/>
                <w:sz w:val="21"/>
                <w:szCs w:val="21"/>
              </w:rPr>
            </w:pPr>
            <w:r>
              <w:rPr>
                <w:rFonts w:ascii="Times New Roman" w:hAnsi="Times New Roman"/>
                <w:sz w:val="21"/>
                <w:szCs w:val="21"/>
              </w:rPr>
              <w:t>9</w:t>
            </w:r>
          </w:p>
        </w:tc>
        <w:tc>
          <w:tcPr>
            <w:tcW w:w="1925" w:type="dxa"/>
            <w:vAlign w:val="center"/>
          </w:tcPr>
          <w:p>
            <w:pPr>
              <w:jc w:val="center"/>
              <w:rPr>
                <w:rFonts w:ascii="Times New Roman" w:hAnsi="Times New Roman"/>
                <w:sz w:val="21"/>
                <w:szCs w:val="21"/>
              </w:rPr>
            </w:pPr>
            <w:r>
              <w:rPr>
                <w:rFonts w:ascii="Times New Roman" w:hAnsi="Times New Roman"/>
                <w:sz w:val="21"/>
                <w:szCs w:val="21"/>
              </w:rPr>
              <w:t>29.03</w:t>
            </w:r>
            <w:bookmarkStart w:id="70" w:name="OLE_LINK37"/>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ascii="Times New Roman" w:hAnsi="Times New Roman"/>
                <w:sz w:val="21"/>
                <w:szCs w:val="21"/>
              </w:rPr>
            </w:pPr>
            <w:r>
              <w:rPr>
                <w:rFonts w:hint="eastAsia" w:ascii="Times New Roman" w:hAnsi="Times New Roman"/>
                <w:sz w:val="21"/>
                <w:szCs w:val="22"/>
              </w:rPr>
              <w:t>学士</w:t>
            </w:r>
          </w:p>
        </w:tc>
        <w:tc>
          <w:tcPr>
            <w:tcW w:w="1776" w:type="dxa"/>
            <w:vAlign w:val="center"/>
          </w:tcPr>
          <w:p>
            <w:pPr>
              <w:jc w:val="center"/>
              <w:rPr>
                <w:rFonts w:ascii="Times New Roman" w:hAnsi="Times New Roman"/>
                <w:sz w:val="21"/>
                <w:szCs w:val="21"/>
              </w:rPr>
            </w:pPr>
            <w:r>
              <w:rPr>
                <w:rFonts w:ascii="Times New Roman" w:hAnsi="Times New Roman"/>
                <w:sz w:val="21"/>
                <w:szCs w:val="21"/>
              </w:rPr>
              <w:t>0</w:t>
            </w:r>
          </w:p>
        </w:tc>
        <w:tc>
          <w:tcPr>
            <w:tcW w:w="1628" w:type="dxa"/>
            <w:vAlign w:val="center"/>
          </w:tcPr>
          <w:p>
            <w:pPr>
              <w:jc w:val="center"/>
              <w:rPr>
                <w:rFonts w:ascii="Times New Roman" w:hAnsi="Times New Roman"/>
                <w:sz w:val="21"/>
                <w:szCs w:val="21"/>
              </w:rPr>
            </w:pPr>
            <w:r>
              <w:rPr>
                <w:rFonts w:ascii="Times New Roman" w:hAnsi="Times New Roman"/>
                <w:sz w:val="21"/>
                <w:szCs w:val="21"/>
              </w:rPr>
              <w:t>0</w:t>
            </w:r>
          </w:p>
        </w:tc>
        <w:tc>
          <w:tcPr>
            <w:tcW w:w="2074" w:type="dxa"/>
            <w:vAlign w:val="center"/>
          </w:tcPr>
          <w:p>
            <w:pPr>
              <w:jc w:val="center"/>
              <w:rPr>
                <w:rFonts w:ascii="Times New Roman" w:hAnsi="Times New Roman"/>
                <w:sz w:val="21"/>
                <w:szCs w:val="21"/>
              </w:rPr>
            </w:pPr>
            <w:r>
              <w:rPr>
                <w:rFonts w:ascii="Times New Roman" w:hAnsi="Times New Roman"/>
                <w:sz w:val="21"/>
                <w:szCs w:val="21"/>
              </w:rPr>
              <w:t>0</w:t>
            </w:r>
          </w:p>
        </w:tc>
        <w:tc>
          <w:tcPr>
            <w:tcW w:w="1925"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ascii="Times New Roman" w:hAnsi="Times New Roman"/>
                <w:sz w:val="21"/>
                <w:szCs w:val="21"/>
              </w:rPr>
            </w:pPr>
            <w:r>
              <w:rPr>
                <w:rFonts w:hint="eastAsia" w:ascii="Times New Roman" w:hAnsi="Times New Roman"/>
                <w:sz w:val="21"/>
                <w:szCs w:val="22"/>
              </w:rPr>
              <w:t>无学位</w:t>
            </w:r>
          </w:p>
        </w:tc>
        <w:tc>
          <w:tcPr>
            <w:tcW w:w="1776" w:type="dxa"/>
            <w:vAlign w:val="center"/>
          </w:tcPr>
          <w:p>
            <w:pPr>
              <w:jc w:val="center"/>
              <w:rPr>
                <w:rFonts w:ascii="Times New Roman" w:hAnsi="Times New Roman"/>
                <w:sz w:val="21"/>
                <w:szCs w:val="21"/>
              </w:rPr>
            </w:pPr>
            <w:r>
              <w:rPr>
                <w:rFonts w:ascii="Times New Roman" w:hAnsi="Times New Roman"/>
                <w:sz w:val="21"/>
                <w:szCs w:val="21"/>
              </w:rPr>
              <w:t>0</w:t>
            </w:r>
          </w:p>
        </w:tc>
        <w:tc>
          <w:tcPr>
            <w:tcW w:w="1628" w:type="dxa"/>
            <w:vAlign w:val="center"/>
          </w:tcPr>
          <w:p>
            <w:pPr>
              <w:jc w:val="center"/>
              <w:rPr>
                <w:rFonts w:ascii="Times New Roman" w:hAnsi="Times New Roman"/>
                <w:sz w:val="21"/>
                <w:szCs w:val="21"/>
              </w:rPr>
            </w:pPr>
            <w:r>
              <w:rPr>
                <w:rFonts w:ascii="Times New Roman" w:hAnsi="Times New Roman"/>
                <w:sz w:val="21"/>
                <w:szCs w:val="21"/>
              </w:rPr>
              <w:t>0</w:t>
            </w:r>
          </w:p>
        </w:tc>
        <w:tc>
          <w:tcPr>
            <w:tcW w:w="2074" w:type="dxa"/>
            <w:vAlign w:val="center"/>
          </w:tcPr>
          <w:p>
            <w:pPr>
              <w:jc w:val="center"/>
              <w:rPr>
                <w:rFonts w:ascii="Times New Roman" w:hAnsi="Times New Roman"/>
                <w:sz w:val="21"/>
                <w:szCs w:val="21"/>
              </w:rPr>
            </w:pPr>
            <w:r>
              <w:rPr>
                <w:rFonts w:ascii="Times New Roman" w:hAnsi="Times New Roman"/>
                <w:sz w:val="21"/>
                <w:szCs w:val="21"/>
              </w:rPr>
              <w:t>0</w:t>
            </w:r>
          </w:p>
        </w:tc>
        <w:tc>
          <w:tcPr>
            <w:tcW w:w="1925" w:type="dxa"/>
            <w:vAlign w:val="center"/>
          </w:tcPr>
          <w:p>
            <w:pPr>
              <w:jc w:val="center"/>
              <w:rPr>
                <w:rFonts w:ascii="Times New Roman" w:hAnsi="Times New Roman"/>
                <w:sz w:val="21"/>
                <w:szCs w:val="21"/>
              </w:rPr>
            </w:pPr>
            <w:r>
              <w:rPr>
                <w:rFonts w:ascii="Times New Roman" w:hAnsi="Times New Roman"/>
                <w:sz w:val="21"/>
                <w:szCs w:val="21"/>
              </w:rPr>
              <w:t>0</w:t>
            </w:r>
            <w:bookmarkStart w:id="71" w:name="OLE_LINK38"/>
            <w:bookmarkEnd w:id="71"/>
          </w:p>
        </w:tc>
      </w:tr>
    </w:tbl>
    <w:p>
      <w:pPr>
        <w:rPr>
          <w:rFonts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4.2.3专业课校内授课教师</w:t>
      </w:r>
      <w:bookmarkStart w:id="72" w:name="OLE_LINK39"/>
      <w:r>
        <w:rPr>
          <w:rFonts w:ascii="Times New Roman" w:hAnsi="Times New Roman" w:eastAsia="宋体" w:cstheme="minorBidi"/>
          <w:b w:val="0"/>
          <w:bCs w:val="0"/>
          <w:kern w:val="2"/>
          <w:sz w:val="24"/>
          <w:szCs w:val="24"/>
        </w:rPr>
        <w:t>年龄</w:t>
      </w:r>
      <w:bookmarkEnd w:id="72"/>
      <w:r>
        <w:rPr>
          <w:rFonts w:ascii="Times New Roman" w:hAnsi="Times New Roman" w:eastAsia="宋体" w:cstheme="minorBidi"/>
          <w:b w:val="0"/>
          <w:bCs w:val="0"/>
          <w:kern w:val="2"/>
          <w:sz w:val="24"/>
          <w:szCs w:val="24"/>
        </w:rPr>
        <w:t>情况分析</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专业课校内授课教师共10</w:t>
      </w:r>
      <w:r>
        <w:rPr>
          <w:rFonts w:ascii="Times New Roman" w:hAnsi="Times New Roman" w:cs="Times New Roman"/>
          <w:szCs w:val="28"/>
        </w:rPr>
        <w:t>6</w:t>
      </w:r>
      <w:r>
        <w:rPr>
          <w:rFonts w:hint="eastAsia" w:ascii="Times New Roman" w:hAnsi="Times New Roman" w:cs="Times New Roman"/>
          <w:szCs w:val="28"/>
        </w:rPr>
        <w:t>人，其中35岁及以下的为18人，占比</w:t>
      </w:r>
      <w:r>
        <w:rPr>
          <w:rFonts w:ascii="Times New Roman" w:hAnsi="Times New Roman" w:cs="Times New Roman"/>
          <w:szCs w:val="28"/>
        </w:rPr>
        <w:t>16.98</w:t>
      </w:r>
      <w:r>
        <w:rPr>
          <w:rFonts w:hint="eastAsia" w:ascii="Times New Roman" w:hAnsi="Times New Roman" w:cs="Times New Roman"/>
          <w:szCs w:val="28"/>
        </w:rPr>
        <w:t>%，36-45岁的为5</w:t>
      </w:r>
      <w:r>
        <w:rPr>
          <w:rFonts w:ascii="Times New Roman" w:hAnsi="Times New Roman" w:cs="Times New Roman"/>
          <w:szCs w:val="28"/>
        </w:rPr>
        <w:t>4</w:t>
      </w:r>
      <w:r>
        <w:rPr>
          <w:rFonts w:hint="eastAsia" w:ascii="Times New Roman" w:hAnsi="Times New Roman" w:cs="Times New Roman"/>
          <w:szCs w:val="28"/>
        </w:rPr>
        <w:t>人，占比</w:t>
      </w:r>
      <w:r>
        <w:rPr>
          <w:rFonts w:ascii="Times New Roman" w:hAnsi="Times New Roman" w:cs="Times New Roman"/>
          <w:szCs w:val="28"/>
        </w:rPr>
        <w:t>50.94</w:t>
      </w:r>
      <w:r>
        <w:rPr>
          <w:rFonts w:hint="eastAsia" w:ascii="Times New Roman" w:hAnsi="Times New Roman" w:cs="Times New Roman"/>
          <w:szCs w:val="28"/>
        </w:rPr>
        <w:t>%，46-55岁的为2</w:t>
      </w:r>
      <w:r>
        <w:rPr>
          <w:rFonts w:ascii="Times New Roman" w:hAnsi="Times New Roman" w:cs="Times New Roman"/>
          <w:szCs w:val="28"/>
        </w:rPr>
        <w:t>9</w:t>
      </w:r>
      <w:r>
        <w:rPr>
          <w:rFonts w:hint="eastAsia" w:ascii="Times New Roman" w:hAnsi="Times New Roman" w:cs="Times New Roman"/>
          <w:szCs w:val="28"/>
        </w:rPr>
        <w:t>人，占比</w:t>
      </w:r>
      <w:r>
        <w:rPr>
          <w:rFonts w:ascii="Times New Roman" w:hAnsi="Times New Roman" w:cs="Times New Roman"/>
          <w:szCs w:val="28"/>
        </w:rPr>
        <w:t>27.36</w:t>
      </w:r>
      <w:r>
        <w:rPr>
          <w:rFonts w:hint="eastAsia" w:ascii="Times New Roman" w:hAnsi="Times New Roman" w:cs="Times New Roman"/>
          <w:szCs w:val="28"/>
        </w:rPr>
        <w:t>%，56岁及以上的为5人，占比</w:t>
      </w:r>
      <w:r>
        <w:rPr>
          <w:rFonts w:ascii="Times New Roman" w:hAnsi="Times New Roman" w:cs="Times New Roman"/>
          <w:szCs w:val="28"/>
        </w:rPr>
        <w:t>4.72</w:t>
      </w:r>
      <w:r>
        <w:rPr>
          <w:rFonts w:hint="eastAsia" w:ascii="Times New Roman" w:hAnsi="Times New Roman" w:cs="Times New Roman"/>
          <w:szCs w:val="28"/>
        </w:rPr>
        <w:t>%；核心课校内授课教师共</w:t>
      </w:r>
      <w:r>
        <w:rPr>
          <w:rFonts w:ascii="Times New Roman" w:hAnsi="Times New Roman" w:cs="Times New Roman"/>
          <w:szCs w:val="28"/>
        </w:rPr>
        <w:t>31</w:t>
      </w:r>
      <w:r>
        <w:rPr>
          <w:rFonts w:hint="eastAsia" w:ascii="Times New Roman" w:hAnsi="Times New Roman" w:cs="Times New Roman"/>
          <w:szCs w:val="28"/>
        </w:rPr>
        <w:t>人，其中35岁及以下的</w:t>
      </w:r>
      <w:r>
        <w:rPr>
          <w:rFonts w:ascii="Times New Roman" w:hAnsi="Times New Roman" w:cs="Times New Roman"/>
          <w:szCs w:val="28"/>
        </w:rPr>
        <w:t>4</w:t>
      </w:r>
      <w:r>
        <w:rPr>
          <w:rFonts w:hint="eastAsia" w:ascii="Times New Roman" w:hAnsi="Times New Roman" w:cs="Times New Roman"/>
          <w:szCs w:val="28"/>
        </w:rPr>
        <w:t>人，36-45岁的为13人，46-55岁的为</w:t>
      </w:r>
      <w:r>
        <w:rPr>
          <w:rFonts w:ascii="Times New Roman" w:hAnsi="Times New Roman" w:cs="Times New Roman"/>
          <w:szCs w:val="28"/>
        </w:rPr>
        <w:t>13</w:t>
      </w:r>
      <w:r>
        <w:rPr>
          <w:rFonts w:hint="eastAsia" w:ascii="Times New Roman" w:hAnsi="Times New Roman" w:cs="Times New Roman"/>
          <w:szCs w:val="28"/>
        </w:rPr>
        <w:t>人，56岁及以上的为2人。</w:t>
      </w:r>
    </w:p>
    <w:p>
      <w:pPr>
        <w:pStyle w:val="36"/>
        <w:spacing w:before="156" w:after="156"/>
      </w:pPr>
      <w:r>
        <w:t>表</w:t>
      </w:r>
      <w:r>
        <w:rPr>
          <w:rFonts w:hint="eastAsia"/>
        </w:rPr>
        <w:t>1</w:t>
      </w:r>
      <w:r>
        <w:t xml:space="preserve">6 </w:t>
      </w:r>
      <w:r>
        <w:rPr>
          <w:rFonts w:hint="eastAsia"/>
        </w:rPr>
        <w:t>工商管理</w:t>
      </w:r>
      <w:r>
        <w:t>专业</w:t>
      </w:r>
      <w:r>
        <w:rPr>
          <w:rFonts w:hint="eastAsia"/>
        </w:rPr>
        <w:t>校内授课教师年龄分布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1560"/>
        <w:gridCol w:w="184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000000" w:sz="2" w:space="0"/>
              <w:left w:val="single" w:color="000000" w:sz="4"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98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专业课授课教师</w:t>
            </w:r>
          </w:p>
        </w:tc>
        <w:tc>
          <w:tcPr>
            <w:tcW w:w="15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核心课授课教师</w:t>
            </w:r>
          </w:p>
        </w:tc>
        <w:tc>
          <w:tcPr>
            <w:tcW w:w="149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rFonts w:ascii="Times New Roman" w:hAnsi="Times New Roman"/>
                <w:sz w:val="21"/>
                <w:szCs w:val="21"/>
              </w:rPr>
            </w:pPr>
            <w:r>
              <w:rPr>
                <w:rFonts w:ascii="Times New Roman" w:hAnsi="Times New Roman" w:eastAsia="Times New Roman" w:cs="Noto Sans Mono CJK JP Regular"/>
                <w:b/>
                <w:sz w:val="21"/>
                <w:szCs w:val="22"/>
              </w:rPr>
              <w:t xml:space="preserve">35 </w:t>
            </w:r>
            <w:r>
              <w:rPr>
                <w:rFonts w:hint="eastAsia" w:ascii="Times New Roman" w:hAnsi="Times New Roman"/>
                <w:sz w:val="21"/>
                <w:szCs w:val="22"/>
              </w:rPr>
              <w:t>岁及以下</w:t>
            </w:r>
          </w:p>
        </w:tc>
        <w:tc>
          <w:tcPr>
            <w:tcW w:w="1984" w:type="dxa"/>
            <w:vAlign w:val="center"/>
          </w:tcPr>
          <w:p>
            <w:pPr>
              <w:jc w:val="center"/>
              <w:rPr>
                <w:rFonts w:ascii="Times New Roman" w:hAnsi="Times New Roman"/>
                <w:sz w:val="21"/>
                <w:szCs w:val="21"/>
              </w:rPr>
            </w:pPr>
            <w:r>
              <w:rPr>
                <w:rFonts w:ascii="Times New Roman" w:hAnsi="Times New Roman"/>
                <w:sz w:val="21"/>
                <w:szCs w:val="21"/>
              </w:rPr>
              <w:t>18</w:t>
            </w:r>
          </w:p>
        </w:tc>
        <w:tc>
          <w:tcPr>
            <w:tcW w:w="1560" w:type="dxa"/>
            <w:vAlign w:val="center"/>
          </w:tcPr>
          <w:p>
            <w:pPr>
              <w:jc w:val="center"/>
              <w:rPr>
                <w:rFonts w:ascii="Times New Roman" w:hAnsi="Times New Roman"/>
                <w:sz w:val="21"/>
                <w:szCs w:val="21"/>
              </w:rPr>
            </w:pPr>
            <w:r>
              <w:rPr>
                <w:rFonts w:ascii="Times New Roman" w:hAnsi="Times New Roman"/>
                <w:sz w:val="21"/>
                <w:szCs w:val="21"/>
              </w:rPr>
              <w:t>16.98</w:t>
            </w:r>
          </w:p>
        </w:tc>
        <w:tc>
          <w:tcPr>
            <w:tcW w:w="1842" w:type="dxa"/>
            <w:vAlign w:val="center"/>
          </w:tcPr>
          <w:p>
            <w:pPr>
              <w:jc w:val="center"/>
              <w:rPr>
                <w:rFonts w:ascii="Times New Roman" w:hAnsi="Times New Roman"/>
                <w:sz w:val="21"/>
                <w:szCs w:val="21"/>
              </w:rPr>
            </w:pPr>
            <w:r>
              <w:rPr>
                <w:rFonts w:ascii="Times New Roman" w:hAnsi="Times New Roman"/>
                <w:sz w:val="21"/>
                <w:szCs w:val="21"/>
              </w:rPr>
              <w:t>4</w:t>
            </w:r>
          </w:p>
        </w:tc>
        <w:tc>
          <w:tcPr>
            <w:tcW w:w="1499" w:type="dxa"/>
            <w:vAlign w:val="center"/>
          </w:tcPr>
          <w:p>
            <w:pPr>
              <w:jc w:val="center"/>
              <w:rPr>
                <w:rFonts w:ascii="Times New Roman" w:hAnsi="Times New Roman"/>
                <w:sz w:val="21"/>
                <w:szCs w:val="21"/>
              </w:rPr>
            </w:pPr>
            <w:r>
              <w:rPr>
                <w:rFonts w:ascii="Times New Roman" w:hAnsi="Times New Roman"/>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rFonts w:ascii="Times New Roman" w:hAnsi="Times New Roman"/>
                <w:sz w:val="21"/>
                <w:szCs w:val="21"/>
              </w:rPr>
            </w:pPr>
            <w:r>
              <w:rPr>
                <w:rFonts w:ascii="Times New Roman" w:hAnsi="Times New Roman" w:eastAsia="Times New Roman" w:cs="Noto Sans Mono CJK JP Regular"/>
                <w:b/>
                <w:sz w:val="21"/>
                <w:szCs w:val="22"/>
              </w:rPr>
              <w:t xml:space="preserve">36-45 </w:t>
            </w:r>
            <w:r>
              <w:rPr>
                <w:rFonts w:hint="eastAsia" w:ascii="Times New Roman" w:hAnsi="Times New Roman"/>
                <w:sz w:val="21"/>
                <w:szCs w:val="22"/>
              </w:rPr>
              <w:t>岁</w:t>
            </w:r>
          </w:p>
        </w:tc>
        <w:tc>
          <w:tcPr>
            <w:tcW w:w="1984" w:type="dxa"/>
            <w:vAlign w:val="center"/>
          </w:tcPr>
          <w:p>
            <w:pPr>
              <w:jc w:val="center"/>
              <w:rPr>
                <w:rFonts w:ascii="Times New Roman" w:hAnsi="Times New Roman"/>
                <w:sz w:val="21"/>
                <w:szCs w:val="21"/>
              </w:rPr>
            </w:pPr>
            <w:r>
              <w:rPr>
                <w:rFonts w:ascii="Times New Roman" w:hAnsi="Times New Roman"/>
                <w:sz w:val="21"/>
                <w:szCs w:val="21"/>
              </w:rPr>
              <w:t>54</w:t>
            </w:r>
          </w:p>
        </w:tc>
        <w:tc>
          <w:tcPr>
            <w:tcW w:w="1560" w:type="dxa"/>
            <w:vAlign w:val="center"/>
          </w:tcPr>
          <w:p>
            <w:pPr>
              <w:jc w:val="center"/>
              <w:rPr>
                <w:rFonts w:ascii="Times New Roman" w:hAnsi="Times New Roman"/>
                <w:sz w:val="21"/>
                <w:szCs w:val="21"/>
              </w:rPr>
            </w:pPr>
            <w:r>
              <w:rPr>
                <w:rFonts w:ascii="Times New Roman" w:hAnsi="Times New Roman"/>
                <w:sz w:val="21"/>
                <w:szCs w:val="21"/>
              </w:rPr>
              <w:t>50.94</w:t>
            </w:r>
          </w:p>
        </w:tc>
        <w:tc>
          <w:tcPr>
            <w:tcW w:w="1842" w:type="dxa"/>
            <w:vAlign w:val="center"/>
          </w:tcPr>
          <w:p>
            <w:pPr>
              <w:jc w:val="center"/>
              <w:rPr>
                <w:rFonts w:ascii="Times New Roman" w:hAnsi="Times New Roman"/>
                <w:sz w:val="21"/>
                <w:szCs w:val="21"/>
              </w:rPr>
            </w:pPr>
            <w:r>
              <w:rPr>
                <w:rFonts w:ascii="Times New Roman" w:hAnsi="Times New Roman"/>
                <w:sz w:val="21"/>
                <w:szCs w:val="21"/>
              </w:rPr>
              <w:t>12</w:t>
            </w:r>
          </w:p>
        </w:tc>
        <w:tc>
          <w:tcPr>
            <w:tcW w:w="1499" w:type="dxa"/>
            <w:vAlign w:val="center"/>
          </w:tcPr>
          <w:p>
            <w:pPr>
              <w:jc w:val="center"/>
              <w:rPr>
                <w:rFonts w:ascii="Times New Roman" w:hAnsi="Times New Roman"/>
                <w:sz w:val="21"/>
                <w:szCs w:val="21"/>
              </w:rPr>
            </w:pPr>
            <w:r>
              <w:rPr>
                <w:rFonts w:ascii="Times New Roman" w:hAnsi="Times New Roman"/>
                <w:sz w:val="21"/>
                <w:szCs w:val="21"/>
              </w:rPr>
              <w:t>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rFonts w:ascii="Times New Roman" w:hAnsi="Times New Roman"/>
                <w:sz w:val="21"/>
                <w:szCs w:val="21"/>
              </w:rPr>
            </w:pPr>
            <w:r>
              <w:rPr>
                <w:rFonts w:ascii="Times New Roman" w:hAnsi="Times New Roman" w:eastAsia="Times New Roman" w:cs="Noto Sans Mono CJK JP Regular"/>
                <w:b/>
                <w:sz w:val="21"/>
                <w:szCs w:val="22"/>
              </w:rPr>
              <w:t xml:space="preserve">46-55 </w:t>
            </w:r>
            <w:r>
              <w:rPr>
                <w:rFonts w:hint="eastAsia" w:ascii="Times New Roman" w:hAnsi="Times New Roman"/>
                <w:sz w:val="21"/>
                <w:szCs w:val="22"/>
              </w:rPr>
              <w:t>岁</w:t>
            </w:r>
          </w:p>
        </w:tc>
        <w:tc>
          <w:tcPr>
            <w:tcW w:w="1984" w:type="dxa"/>
            <w:vAlign w:val="center"/>
          </w:tcPr>
          <w:p>
            <w:pPr>
              <w:jc w:val="center"/>
              <w:rPr>
                <w:rFonts w:ascii="Times New Roman" w:hAnsi="Times New Roman"/>
                <w:sz w:val="21"/>
                <w:szCs w:val="21"/>
              </w:rPr>
            </w:pPr>
            <w:r>
              <w:rPr>
                <w:rFonts w:ascii="Times New Roman" w:hAnsi="Times New Roman"/>
                <w:sz w:val="21"/>
                <w:szCs w:val="21"/>
              </w:rPr>
              <w:t>29</w:t>
            </w:r>
          </w:p>
        </w:tc>
        <w:tc>
          <w:tcPr>
            <w:tcW w:w="1560" w:type="dxa"/>
            <w:vAlign w:val="center"/>
          </w:tcPr>
          <w:p>
            <w:pPr>
              <w:jc w:val="center"/>
              <w:rPr>
                <w:rFonts w:ascii="Times New Roman" w:hAnsi="Times New Roman"/>
                <w:sz w:val="21"/>
                <w:szCs w:val="21"/>
              </w:rPr>
            </w:pPr>
            <w:r>
              <w:rPr>
                <w:rFonts w:ascii="Times New Roman" w:hAnsi="Times New Roman"/>
                <w:sz w:val="21"/>
                <w:szCs w:val="21"/>
              </w:rPr>
              <w:t>27.36</w:t>
            </w:r>
          </w:p>
        </w:tc>
        <w:tc>
          <w:tcPr>
            <w:tcW w:w="1842" w:type="dxa"/>
            <w:vAlign w:val="center"/>
          </w:tcPr>
          <w:p>
            <w:pPr>
              <w:jc w:val="center"/>
              <w:rPr>
                <w:rFonts w:ascii="Times New Roman" w:hAnsi="Times New Roman"/>
                <w:sz w:val="21"/>
                <w:szCs w:val="21"/>
              </w:rPr>
            </w:pPr>
            <w:r>
              <w:rPr>
                <w:rFonts w:ascii="Times New Roman" w:hAnsi="Times New Roman"/>
                <w:sz w:val="21"/>
                <w:szCs w:val="21"/>
              </w:rPr>
              <w:t>13</w:t>
            </w:r>
          </w:p>
        </w:tc>
        <w:tc>
          <w:tcPr>
            <w:tcW w:w="1499" w:type="dxa"/>
            <w:vAlign w:val="center"/>
          </w:tcPr>
          <w:p>
            <w:pPr>
              <w:jc w:val="center"/>
              <w:rPr>
                <w:rFonts w:ascii="Times New Roman" w:hAnsi="Times New Roman"/>
                <w:sz w:val="21"/>
                <w:szCs w:val="21"/>
              </w:rPr>
            </w:pPr>
            <w:r>
              <w:rPr>
                <w:rFonts w:ascii="Times New Roman" w:hAnsi="Times New Roman"/>
                <w:sz w:val="21"/>
                <w:szCs w:val="21"/>
              </w:rPr>
              <w:t>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rFonts w:ascii="Times New Roman" w:hAnsi="Times New Roman"/>
                <w:sz w:val="21"/>
                <w:szCs w:val="21"/>
              </w:rPr>
            </w:pPr>
            <w:r>
              <w:rPr>
                <w:rFonts w:ascii="Times New Roman" w:hAnsi="Times New Roman" w:eastAsia="Times New Roman" w:cs="Noto Sans Mono CJK JP Regular"/>
                <w:b/>
                <w:sz w:val="21"/>
                <w:szCs w:val="22"/>
              </w:rPr>
              <w:t xml:space="preserve">56 </w:t>
            </w:r>
            <w:r>
              <w:rPr>
                <w:rFonts w:hint="eastAsia" w:ascii="Times New Roman" w:hAnsi="Times New Roman"/>
                <w:sz w:val="21"/>
                <w:szCs w:val="22"/>
              </w:rPr>
              <w:t>岁及以上</w:t>
            </w:r>
          </w:p>
        </w:tc>
        <w:tc>
          <w:tcPr>
            <w:tcW w:w="1984" w:type="dxa"/>
            <w:vAlign w:val="center"/>
          </w:tcPr>
          <w:p>
            <w:pPr>
              <w:jc w:val="center"/>
              <w:rPr>
                <w:rFonts w:ascii="Times New Roman" w:hAnsi="Times New Roman"/>
                <w:sz w:val="21"/>
                <w:szCs w:val="21"/>
              </w:rPr>
            </w:pPr>
            <w:r>
              <w:rPr>
                <w:rFonts w:ascii="Times New Roman" w:hAnsi="Times New Roman"/>
                <w:sz w:val="21"/>
                <w:szCs w:val="21"/>
              </w:rPr>
              <w:t>5</w:t>
            </w:r>
          </w:p>
        </w:tc>
        <w:tc>
          <w:tcPr>
            <w:tcW w:w="1560" w:type="dxa"/>
            <w:vAlign w:val="center"/>
          </w:tcPr>
          <w:p>
            <w:pPr>
              <w:jc w:val="center"/>
              <w:rPr>
                <w:rFonts w:ascii="Times New Roman" w:hAnsi="Times New Roman"/>
                <w:sz w:val="21"/>
                <w:szCs w:val="21"/>
              </w:rPr>
            </w:pPr>
            <w:r>
              <w:rPr>
                <w:rFonts w:ascii="Times New Roman" w:hAnsi="Times New Roman"/>
                <w:sz w:val="21"/>
                <w:szCs w:val="21"/>
              </w:rPr>
              <w:t>4.72</w:t>
            </w:r>
          </w:p>
        </w:tc>
        <w:tc>
          <w:tcPr>
            <w:tcW w:w="1842" w:type="dxa"/>
            <w:vAlign w:val="center"/>
          </w:tcPr>
          <w:p>
            <w:pPr>
              <w:jc w:val="center"/>
              <w:rPr>
                <w:rFonts w:ascii="Times New Roman" w:hAnsi="Times New Roman"/>
                <w:sz w:val="21"/>
                <w:szCs w:val="21"/>
              </w:rPr>
            </w:pPr>
            <w:r>
              <w:rPr>
                <w:rFonts w:ascii="Times New Roman" w:hAnsi="Times New Roman"/>
                <w:sz w:val="21"/>
                <w:szCs w:val="21"/>
              </w:rPr>
              <w:t>2</w:t>
            </w:r>
          </w:p>
        </w:tc>
        <w:tc>
          <w:tcPr>
            <w:tcW w:w="1499" w:type="dxa"/>
            <w:vAlign w:val="center"/>
          </w:tcPr>
          <w:p>
            <w:pPr>
              <w:jc w:val="center"/>
              <w:rPr>
                <w:rFonts w:ascii="Times New Roman" w:hAnsi="Times New Roman"/>
                <w:sz w:val="21"/>
                <w:szCs w:val="21"/>
              </w:rPr>
            </w:pPr>
            <w:r>
              <w:rPr>
                <w:rFonts w:ascii="Times New Roman" w:hAnsi="Times New Roman"/>
                <w:sz w:val="21"/>
                <w:szCs w:val="21"/>
              </w:rPr>
              <w:t>6.45</w:t>
            </w:r>
            <w:bookmarkStart w:id="73" w:name="OLE_LINK40"/>
            <w:bookmarkEnd w:id="73"/>
          </w:p>
        </w:tc>
      </w:tr>
    </w:tbl>
    <w:p>
      <w:pPr>
        <w:rPr>
          <w:rFonts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4.2.4专业课校内授课教师来源情况分析</w:t>
      </w:r>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专业课校内授课教师共10</w:t>
      </w:r>
      <w:r>
        <w:rPr>
          <w:rFonts w:ascii="Times New Roman" w:hAnsi="Times New Roman" w:cs="Times New Roman"/>
          <w:szCs w:val="28"/>
        </w:rPr>
        <w:t>6</w:t>
      </w:r>
      <w:r>
        <w:rPr>
          <w:rFonts w:hint="eastAsia" w:ascii="Times New Roman" w:hAnsi="Times New Roman" w:cs="Times New Roman"/>
          <w:szCs w:val="28"/>
        </w:rPr>
        <w:t>人，其中本专业教师10人，占比</w:t>
      </w:r>
      <w:r>
        <w:rPr>
          <w:rFonts w:ascii="Times New Roman" w:hAnsi="Times New Roman" w:cs="Times New Roman"/>
          <w:szCs w:val="28"/>
        </w:rPr>
        <w:t>9.43</w:t>
      </w:r>
      <w:r>
        <w:rPr>
          <w:rFonts w:hint="eastAsia" w:ascii="Times New Roman" w:hAnsi="Times New Roman" w:cs="Times New Roman"/>
          <w:szCs w:val="28"/>
        </w:rPr>
        <w:t>%，本学院外专业教师6</w:t>
      </w:r>
      <w:r>
        <w:rPr>
          <w:rFonts w:ascii="Times New Roman" w:hAnsi="Times New Roman" w:cs="Times New Roman"/>
          <w:szCs w:val="28"/>
        </w:rPr>
        <w:t>3</w:t>
      </w:r>
      <w:r>
        <w:rPr>
          <w:rFonts w:hint="eastAsia" w:ascii="Times New Roman" w:hAnsi="Times New Roman" w:cs="Times New Roman"/>
          <w:szCs w:val="28"/>
        </w:rPr>
        <w:t>人，占比</w:t>
      </w:r>
      <w:r>
        <w:rPr>
          <w:rFonts w:ascii="Times New Roman" w:hAnsi="Times New Roman" w:cs="Times New Roman"/>
          <w:szCs w:val="28"/>
        </w:rPr>
        <w:t>59.43</w:t>
      </w:r>
      <w:r>
        <w:rPr>
          <w:rFonts w:hint="eastAsia" w:ascii="Times New Roman" w:hAnsi="Times New Roman" w:cs="Times New Roman"/>
          <w:szCs w:val="28"/>
        </w:rPr>
        <w:t>%，校内其他单位教师3</w:t>
      </w:r>
      <w:r>
        <w:rPr>
          <w:rFonts w:ascii="Times New Roman" w:hAnsi="Times New Roman" w:cs="Times New Roman"/>
          <w:szCs w:val="28"/>
        </w:rPr>
        <w:t>3</w:t>
      </w:r>
      <w:r>
        <w:rPr>
          <w:rFonts w:hint="eastAsia" w:ascii="Times New Roman" w:hAnsi="Times New Roman" w:cs="Times New Roman"/>
          <w:szCs w:val="28"/>
        </w:rPr>
        <w:t>人，占比</w:t>
      </w:r>
      <w:r>
        <w:rPr>
          <w:rFonts w:ascii="Times New Roman" w:hAnsi="Times New Roman" w:cs="Times New Roman"/>
          <w:szCs w:val="28"/>
        </w:rPr>
        <w:t>31.13</w:t>
      </w:r>
      <w:r>
        <w:rPr>
          <w:rFonts w:hint="eastAsia" w:ascii="Times New Roman" w:hAnsi="Times New Roman" w:cs="Times New Roman"/>
          <w:szCs w:val="28"/>
        </w:rPr>
        <w:t>%；核心课校内授课教师共3</w:t>
      </w:r>
      <w:r>
        <w:rPr>
          <w:rFonts w:ascii="Times New Roman" w:hAnsi="Times New Roman" w:cs="Times New Roman"/>
          <w:szCs w:val="28"/>
        </w:rPr>
        <w:t>1</w:t>
      </w:r>
      <w:r>
        <w:rPr>
          <w:rFonts w:hint="eastAsia" w:ascii="Times New Roman" w:hAnsi="Times New Roman" w:cs="Times New Roman"/>
          <w:szCs w:val="28"/>
        </w:rPr>
        <w:t>人，其中本专业教师5人，本学院外专业教师</w:t>
      </w:r>
      <w:r>
        <w:rPr>
          <w:rFonts w:ascii="Times New Roman" w:hAnsi="Times New Roman" w:cs="Times New Roman"/>
          <w:szCs w:val="28"/>
        </w:rPr>
        <w:t>19</w:t>
      </w:r>
      <w:r>
        <w:rPr>
          <w:rFonts w:hint="eastAsia" w:ascii="Times New Roman" w:hAnsi="Times New Roman" w:cs="Times New Roman"/>
          <w:szCs w:val="28"/>
        </w:rPr>
        <w:t>人，校内其他单位教师</w:t>
      </w:r>
      <w:r>
        <w:rPr>
          <w:rFonts w:ascii="Times New Roman" w:hAnsi="Times New Roman" w:cs="Times New Roman"/>
          <w:szCs w:val="28"/>
        </w:rPr>
        <w:t>7</w:t>
      </w:r>
      <w:r>
        <w:rPr>
          <w:rFonts w:hint="eastAsia" w:ascii="Times New Roman" w:hAnsi="Times New Roman" w:cs="Times New Roman"/>
          <w:szCs w:val="28"/>
        </w:rPr>
        <w:t>人。</w:t>
      </w:r>
    </w:p>
    <w:p>
      <w:pPr>
        <w:pStyle w:val="36"/>
        <w:spacing w:before="156" w:after="156"/>
        <w:rPr>
          <w:rFonts w:hint="eastAsia"/>
        </w:rPr>
      </w:pPr>
      <w:r>
        <w:t>表</w:t>
      </w:r>
      <w:r>
        <w:rPr>
          <w:rFonts w:hint="eastAsia"/>
        </w:rPr>
        <w:t>1</w:t>
      </w:r>
      <w:r>
        <w:t xml:space="preserve">7 </w:t>
      </w:r>
      <w:r>
        <w:rPr>
          <w:rFonts w:hint="eastAsia"/>
        </w:rPr>
        <w:t>工商管理</w:t>
      </w:r>
      <w:r>
        <w:t>专业</w:t>
      </w:r>
      <w:r>
        <w:rPr>
          <w:rFonts w:hint="eastAsia"/>
        </w:rPr>
        <w:t>校内授课教师来源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 w:val="21"/>
                <w:szCs w:val="21"/>
              </w:rPr>
            </w:pPr>
            <w:r>
              <w:rPr>
                <w:rFonts w:hint="eastAsia" w:ascii="Times New Roman" w:hAnsi="Times New Roman"/>
                <w:sz w:val="21"/>
                <w:szCs w:val="21"/>
              </w:rPr>
              <w:t>比例(</w:t>
            </w:r>
            <w:r>
              <w:rPr>
                <w:rFonts w:ascii="Times New Roman" w:hAnsi="Times New Roman"/>
                <w:sz w:val="21"/>
                <w:szCs w:val="21"/>
              </w:rPr>
              <w:t>%</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rFonts w:ascii="Times New Roman" w:hAnsi="Times New Roman"/>
                <w:sz w:val="21"/>
                <w:szCs w:val="21"/>
              </w:rPr>
            </w:pPr>
            <w:r>
              <w:rPr>
                <w:rFonts w:hint="eastAsia" w:ascii="Times New Roman" w:hAnsi="Times New Roman"/>
                <w:sz w:val="21"/>
                <w:szCs w:val="22"/>
              </w:rPr>
              <w:t>本专业</w:t>
            </w:r>
          </w:p>
        </w:tc>
        <w:tc>
          <w:tcPr>
            <w:tcW w:w="1643" w:type="dxa"/>
            <w:vAlign w:val="center"/>
          </w:tcPr>
          <w:p>
            <w:pPr>
              <w:jc w:val="center"/>
              <w:rPr>
                <w:rFonts w:ascii="Times New Roman" w:hAnsi="Times New Roman"/>
                <w:sz w:val="21"/>
                <w:szCs w:val="21"/>
              </w:rPr>
            </w:pPr>
            <w:r>
              <w:rPr>
                <w:rFonts w:ascii="Times New Roman" w:hAnsi="Times New Roman"/>
                <w:sz w:val="21"/>
                <w:szCs w:val="21"/>
              </w:rPr>
              <w:t>10</w:t>
            </w:r>
          </w:p>
        </w:tc>
        <w:tc>
          <w:tcPr>
            <w:tcW w:w="1786" w:type="dxa"/>
            <w:vAlign w:val="center"/>
          </w:tcPr>
          <w:p>
            <w:pPr>
              <w:jc w:val="center"/>
              <w:rPr>
                <w:rFonts w:ascii="Times New Roman" w:hAnsi="Times New Roman"/>
                <w:sz w:val="21"/>
                <w:szCs w:val="21"/>
              </w:rPr>
            </w:pPr>
            <w:r>
              <w:rPr>
                <w:rFonts w:ascii="Times New Roman" w:hAnsi="Times New Roman"/>
                <w:sz w:val="21"/>
                <w:szCs w:val="21"/>
              </w:rPr>
              <w:t>9.43</w:t>
            </w:r>
          </w:p>
        </w:tc>
        <w:tc>
          <w:tcPr>
            <w:tcW w:w="1929" w:type="dxa"/>
            <w:vAlign w:val="center"/>
          </w:tcPr>
          <w:p>
            <w:pPr>
              <w:jc w:val="center"/>
              <w:rPr>
                <w:rFonts w:ascii="Times New Roman" w:hAnsi="Times New Roman"/>
                <w:sz w:val="21"/>
                <w:szCs w:val="21"/>
              </w:rPr>
            </w:pPr>
            <w:r>
              <w:rPr>
                <w:rFonts w:ascii="Times New Roman" w:hAnsi="Times New Roman"/>
                <w:sz w:val="21"/>
                <w:szCs w:val="21"/>
              </w:rPr>
              <w:t>5</w:t>
            </w:r>
            <w:bookmarkStart w:id="74" w:name="OLE_LINK41"/>
            <w:bookmarkEnd w:id="74"/>
          </w:p>
        </w:tc>
        <w:tc>
          <w:tcPr>
            <w:tcW w:w="2071" w:type="dxa"/>
            <w:vAlign w:val="center"/>
          </w:tcPr>
          <w:p>
            <w:pPr>
              <w:jc w:val="center"/>
              <w:rPr>
                <w:rFonts w:ascii="Times New Roman" w:hAnsi="Times New Roman"/>
                <w:sz w:val="21"/>
                <w:szCs w:val="21"/>
              </w:rPr>
            </w:pPr>
            <w:r>
              <w:rPr>
                <w:rFonts w:ascii="Times New Roman" w:hAnsi="Times New Roman"/>
                <w:sz w:val="21"/>
                <w:szCs w:val="21"/>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rFonts w:ascii="Times New Roman" w:hAnsi="Times New Roman"/>
                <w:sz w:val="21"/>
                <w:szCs w:val="21"/>
              </w:rPr>
            </w:pPr>
            <w:r>
              <w:rPr>
                <w:rFonts w:hint="eastAsia" w:ascii="Times New Roman" w:hAnsi="Times New Roman"/>
                <w:sz w:val="21"/>
                <w:szCs w:val="22"/>
              </w:rPr>
              <w:t>本学院外专业</w:t>
            </w:r>
          </w:p>
        </w:tc>
        <w:tc>
          <w:tcPr>
            <w:tcW w:w="1643" w:type="dxa"/>
            <w:vAlign w:val="center"/>
          </w:tcPr>
          <w:p>
            <w:pPr>
              <w:jc w:val="center"/>
              <w:rPr>
                <w:rFonts w:ascii="Times New Roman" w:hAnsi="Times New Roman"/>
                <w:sz w:val="21"/>
                <w:szCs w:val="21"/>
              </w:rPr>
            </w:pPr>
            <w:r>
              <w:rPr>
                <w:rFonts w:ascii="Times New Roman" w:hAnsi="Times New Roman"/>
                <w:sz w:val="21"/>
                <w:szCs w:val="21"/>
              </w:rPr>
              <w:t>63</w:t>
            </w:r>
          </w:p>
        </w:tc>
        <w:tc>
          <w:tcPr>
            <w:tcW w:w="1786" w:type="dxa"/>
            <w:vAlign w:val="center"/>
          </w:tcPr>
          <w:p>
            <w:pPr>
              <w:jc w:val="center"/>
              <w:rPr>
                <w:rFonts w:ascii="Times New Roman" w:hAnsi="Times New Roman"/>
                <w:sz w:val="21"/>
                <w:szCs w:val="21"/>
              </w:rPr>
            </w:pPr>
            <w:r>
              <w:rPr>
                <w:rFonts w:ascii="Times New Roman" w:hAnsi="Times New Roman"/>
                <w:sz w:val="21"/>
                <w:szCs w:val="21"/>
              </w:rPr>
              <w:t>59.43</w:t>
            </w:r>
          </w:p>
        </w:tc>
        <w:tc>
          <w:tcPr>
            <w:tcW w:w="1929" w:type="dxa"/>
            <w:vAlign w:val="center"/>
          </w:tcPr>
          <w:p>
            <w:pPr>
              <w:jc w:val="center"/>
              <w:rPr>
                <w:rFonts w:ascii="Times New Roman" w:hAnsi="Times New Roman"/>
                <w:sz w:val="21"/>
                <w:szCs w:val="21"/>
              </w:rPr>
            </w:pPr>
            <w:r>
              <w:rPr>
                <w:rFonts w:ascii="Times New Roman" w:hAnsi="Times New Roman"/>
                <w:sz w:val="21"/>
                <w:szCs w:val="21"/>
              </w:rPr>
              <w:t>19</w:t>
            </w:r>
          </w:p>
        </w:tc>
        <w:tc>
          <w:tcPr>
            <w:tcW w:w="2071" w:type="dxa"/>
            <w:vAlign w:val="center"/>
          </w:tcPr>
          <w:p>
            <w:pPr>
              <w:jc w:val="center"/>
              <w:rPr>
                <w:rFonts w:ascii="Times New Roman" w:hAnsi="Times New Roman"/>
                <w:sz w:val="21"/>
                <w:szCs w:val="21"/>
              </w:rPr>
            </w:pPr>
            <w:r>
              <w:rPr>
                <w:rFonts w:ascii="Times New Roman" w:hAnsi="Times New Roman"/>
                <w:sz w:val="21"/>
                <w:szCs w:val="21"/>
              </w:rPr>
              <w:t>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rFonts w:ascii="Times New Roman" w:hAnsi="Times New Roman"/>
                <w:sz w:val="21"/>
                <w:szCs w:val="21"/>
              </w:rPr>
            </w:pPr>
            <w:r>
              <w:rPr>
                <w:rFonts w:hint="eastAsia" w:ascii="Times New Roman" w:hAnsi="Times New Roman"/>
                <w:sz w:val="21"/>
                <w:szCs w:val="22"/>
              </w:rPr>
              <w:t>校内其他单位</w:t>
            </w:r>
          </w:p>
        </w:tc>
        <w:tc>
          <w:tcPr>
            <w:tcW w:w="1643" w:type="dxa"/>
            <w:vAlign w:val="center"/>
          </w:tcPr>
          <w:p>
            <w:pPr>
              <w:jc w:val="center"/>
              <w:rPr>
                <w:rFonts w:ascii="Times New Roman" w:hAnsi="Times New Roman"/>
                <w:sz w:val="21"/>
                <w:szCs w:val="21"/>
              </w:rPr>
            </w:pPr>
            <w:r>
              <w:rPr>
                <w:rFonts w:ascii="Times New Roman" w:hAnsi="Times New Roman"/>
                <w:sz w:val="21"/>
                <w:szCs w:val="21"/>
              </w:rPr>
              <w:t>33</w:t>
            </w:r>
          </w:p>
        </w:tc>
        <w:tc>
          <w:tcPr>
            <w:tcW w:w="1786" w:type="dxa"/>
            <w:vAlign w:val="center"/>
          </w:tcPr>
          <w:p>
            <w:pPr>
              <w:jc w:val="center"/>
              <w:rPr>
                <w:rFonts w:ascii="Times New Roman" w:hAnsi="Times New Roman"/>
                <w:sz w:val="21"/>
                <w:szCs w:val="21"/>
              </w:rPr>
            </w:pPr>
            <w:r>
              <w:rPr>
                <w:rFonts w:ascii="Times New Roman" w:hAnsi="Times New Roman"/>
                <w:sz w:val="21"/>
                <w:szCs w:val="21"/>
              </w:rPr>
              <w:t>31.13</w:t>
            </w:r>
          </w:p>
        </w:tc>
        <w:tc>
          <w:tcPr>
            <w:tcW w:w="1929" w:type="dxa"/>
            <w:vAlign w:val="center"/>
          </w:tcPr>
          <w:p>
            <w:pPr>
              <w:jc w:val="center"/>
              <w:rPr>
                <w:rFonts w:ascii="Times New Roman" w:hAnsi="Times New Roman"/>
                <w:sz w:val="21"/>
                <w:szCs w:val="21"/>
              </w:rPr>
            </w:pPr>
            <w:r>
              <w:rPr>
                <w:rFonts w:ascii="Times New Roman" w:hAnsi="Times New Roman"/>
                <w:sz w:val="21"/>
                <w:szCs w:val="21"/>
              </w:rPr>
              <w:t>7</w:t>
            </w:r>
          </w:p>
        </w:tc>
        <w:tc>
          <w:tcPr>
            <w:tcW w:w="2071" w:type="dxa"/>
            <w:vAlign w:val="center"/>
          </w:tcPr>
          <w:p>
            <w:pPr>
              <w:jc w:val="center"/>
              <w:rPr>
                <w:rFonts w:ascii="Times New Roman" w:hAnsi="Times New Roman"/>
                <w:sz w:val="21"/>
                <w:szCs w:val="21"/>
              </w:rPr>
            </w:pPr>
            <w:r>
              <w:rPr>
                <w:rFonts w:ascii="Times New Roman" w:hAnsi="Times New Roman"/>
                <w:sz w:val="21"/>
                <w:szCs w:val="21"/>
              </w:rPr>
              <w:t>22.58</w:t>
            </w:r>
          </w:p>
        </w:tc>
      </w:tr>
    </w:tbl>
    <w:p>
      <w:pPr>
        <w:rPr>
          <w:rFonts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4.2.5专业课外聘授课教师情况分析</w:t>
      </w:r>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专业课外聘授课教师共2人，均为企业专家（未评级），主要承担课程教学及指导实习、毕业论文（设计）等工作。</w:t>
      </w:r>
    </w:p>
    <w:p>
      <w:pPr>
        <w:spacing w:line="360" w:lineRule="auto"/>
        <w:ind w:firstLine="480" w:firstLineChars="200"/>
        <w:jc w:val="both"/>
        <w:rPr>
          <w:rFonts w:hint="eastAsia" w:ascii="Times New Roman" w:hAnsi="Times New Roman" w:cs="Times New Roman"/>
          <w:szCs w:val="28"/>
        </w:rPr>
      </w:pPr>
    </w:p>
    <w:p>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表1</w:t>
      </w:r>
      <w:r>
        <w:rPr>
          <w:rFonts w:ascii="Times New Roman" w:hAnsi="Times New Roman" w:cs="Times New Roman"/>
          <w:sz w:val="21"/>
          <w:szCs w:val="21"/>
        </w:rPr>
        <w:t>8</w:t>
      </w:r>
      <w:r>
        <w:rPr>
          <w:rFonts w:hint="eastAsia" w:ascii="Times New Roman" w:hAnsi="Times New Roman" w:cs="Times New Roman"/>
          <w:sz w:val="21"/>
          <w:szCs w:val="21"/>
        </w:rPr>
        <w:t xml:space="preserve"> 工商管理专业课外聘授课教师情况</w:t>
      </w:r>
    </w:p>
    <w:tbl>
      <w:tblPr>
        <w:tblStyle w:val="1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sz w:val="21"/>
                <w:szCs w:val="21"/>
              </w:rPr>
            </w:pPr>
            <w:r>
              <w:rPr>
                <w:rFonts w:hint="eastAsia"/>
                <w:sz w:val="21"/>
                <w:szCs w:val="21"/>
              </w:rPr>
              <w:t>2</w:t>
            </w:r>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75" w:name="OLE_LINK42"/>
            <w:r>
              <w:rPr>
                <w:rFonts w:hint="eastAsia"/>
                <w:sz w:val="21"/>
                <w:szCs w:val="21"/>
              </w:rPr>
              <w:t>职称</w:t>
            </w:r>
            <w:bookmarkEnd w:id="75"/>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76" w:name="OLE_LINK43"/>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77" w:name="OLE_LINK44"/>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sz w:val="21"/>
                <w:szCs w:val="21"/>
              </w:rPr>
            </w:pPr>
            <w:r>
              <w:rPr>
                <w:rFonts w:hint="eastAsia"/>
                <w:sz w:val="21"/>
                <w:szCs w:val="21"/>
              </w:rPr>
              <w:t>2</w:t>
            </w:r>
          </w:p>
        </w:tc>
        <w:tc>
          <w:tcPr>
            <w:tcW w:w="2212" w:type="dxa"/>
            <w:vAlign w:val="center"/>
          </w:tcPr>
          <w:p>
            <w:pPr>
              <w:jc w:val="center"/>
              <w:rPr>
                <w:sz w:val="21"/>
                <w:szCs w:val="21"/>
              </w:rPr>
            </w:pPr>
            <w:r>
              <w:rPr>
                <w:rFonts w:hint="eastAsia"/>
                <w:sz w:val="21"/>
                <w:szCs w:val="21"/>
              </w:rPr>
              <w:t>1</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sz w:val="21"/>
                <w:szCs w:val="21"/>
              </w:rPr>
            </w:pPr>
            <w:r>
              <w:rPr>
                <w:rFonts w:hint="eastAsia"/>
                <w:sz w:val="21"/>
                <w:szCs w:val="21"/>
              </w:rPr>
              <w:t>2</w:t>
            </w:r>
          </w:p>
        </w:tc>
        <w:tc>
          <w:tcPr>
            <w:tcW w:w="2212" w:type="dxa"/>
            <w:vAlign w:val="center"/>
          </w:tcPr>
          <w:p>
            <w:pPr>
              <w:jc w:val="center"/>
              <w:rPr>
                <w:sz w:val="21"/>
                <w:szCs w:val="21"/>
              </w:rPr>
            </w:pPr>
            <w:r>
              <w:rPr>
                <w:rFonts w:hint="eastAsia"/>
                <w:sz w:val="21"/>
                <w:szCs w:val="21"/>
              </w:rPr>
              <w:t>1</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Pr>
        <w:pStyle w:val="4"/>
        <w:rPr>
          <w:rFonts w:ascii="Times New Roman" w:hAnsi="Times New Roman" w:eastAsia="宋体"/>
          <w:b w:val="0"/>
          <w:bCs w:val="0"/>
          <w:sz w:val="24"/>
          <w:szCs w:val="24"/>
        </w:rPr>
      </w:pPr>
      <w:bookmarkStart w:id="78" w:name="_Toc159705227"/>
      <w:bookmarkStart w:id="122" w:name="_GoBack"/>
      <w:bookmarkEnd w:id="122"/>
    </w:p>
    <w:p>
      <w:pPr>
        <w:pStyle w:val="4"/>
        <w:rPr>
          <w:rFonts w:ascii="Times New Roman" w:hAnsi="Times New Roman" w:eastAsia="宋体"/>
          <w:b w:val="0"/>
          <w:bCs w:val="0"/>
          <w:sz w:val="24"/>
          <w:szCs w:val="24"/>
        </w:rPr>
      </w:pPr>
      <w:r>
        <w:rPr>
          <w:rFonts w:ascii="Times New Roman" w:hAnsi="Times New Roman" w:eastAsia="宋体"/>
          <w:b w:val="0"/>
          <w:bCs w:val="0"/>
          <w:sz w:val="24"/>
          <w:szCs w:val="24"/>
        </w:rPr>
        <w:t>4.3</w:t>
      </w:r>
      <w:bookmarkStart w:id="79" w:name="OLE_LINK45"/>
      <w:r>
        <w:rPr>
          <w:rFonts w:hint="eastAsia" w:ascii="Times New Roman" w:hAnsi="Times New Roman" w:eastAsia="宋体"/>
          <w:b w:val="0"/>
          <w:bCs w:val="0"/>
          <w:sz w:val="24"/>
          <w:szCs w:val="24"/>
        </w:rPr>
        <w:t>教师教学</w:t>
      </w:r>
      <w:bookmarkEnd w:id="79"/>
      <w:r>
        <w:rPr>
          <w:rFonts w:hint="eastAsia" w:ascii="Times New Roman" w:hAnsi="Times New Roman" w:eastAsia="宋体"/>
          <w:b w:val="0"/>
          <w:bCs w:val="0"/>
          <w:sz w:val="24"/>
          <w:szCs w:val="24"/>
        </w:rPr>
        <w:t>科研情况</w:t>
      </w:r>
      <w:bookmarkEnd w:id="78"/>
      <w:r>
        <w:rPr>
          <w:rFonts w:hint="eastAsia" w:ascii="Times New Roman" w:hAnsi="Times New Roman" w:eastAsia="宋体"/>
          <w:b w:val="0"/>
          <w:bCs w:val="0"/>
          <w:sz w:val="24"/>
          <w:szCs w:val="24"/>
        </w:rPr>
        <w:t xml:space="preserve"> </w:t>
      </w: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4.3.1教师主持教学</w:t>
      </w:r>
      <w:r>
        <w:rPr>
          <w:rFonts w:hint="eastAsia" w:ascii="Times New Roman" w:hAnsi="Times New Roman" w:eastAsia="宋体" w:cstheme="minorBidi"/>
          <w:b w:val="0"/>
          <w:bCs w:val="0"/>
          <w:kern w:val="2"/>
          <w:sz w:val="24"/>
          <w:szCs w:val="24"/>
        </w:rPr>
        <w:t>建设</w:t>
      </w:r>
      <w:r>
        <w:rPr>
          <w:rFonts w:ascii="Times New Roman" w:hAnsi="Times New Roman" w:eastAsia="宋体" w:cstheme="minorBidi"/>
          <w:b w:val="0"/>
          <w:bCs w:val="0"/>
          <w:kern w:val="2"/>
          <w:sz w:val="24"/>
          <w:szCs w:val="24"/>
        </w:rPr>
        <w:t>项目情况</w:t>
      </w:r>
    </w:p>
    <w:p>
      <w:pPr>
        <w:spacing w:line="360" w:lineRule="auto"/>
        <w:ind w:firstLine="480" w:firstLineChars="200"/>
        <w:jc w:val="both"/>
        <w:rPr>
          <w:rFonts w:ascii="Times New Roman" w:hAnsi="Times New Roman"/>
        </w:rPr>
      </w:pPr>
      <w:r>
        <w:rPr>
          <w:rFonts w:ascii="Times New Roman" w:hAnsi="Times New Roman"/>
        </w:rPr>
        <w:t>本专业加强对教学内容的研究，鼓励教师积极参与课程改革，本学年专业教师完成了3项校级</w:t>
      </w:r>
      <w:r>
        <w:rPr>
          <w:rFonts w:hint="eastAsia" w:ascii="Times New Roman" w:hAnsi="Times New Roman"/>
        </w:rPr>
        <w:t>教学</w:t>
      </w:r>
      <w:r>
        <w:rPr>
          <w:rFonts w:ascii="Times New Roman" w:hAnsi="Times New Roman"/>
        </w:rPr>
        <w:t>改革项目。</w:t>
      </w:r>
      <w:r>
        <w:rPr>
          <w:rFonts w:hint="eastAsia" w:ascii="Times New Roman" w:hAnsi="Times New Roman"/>
        </w:rPr>
        <w:t>胡斌教授《管理学》课程获批上海高校市级重点课程；董晓松</w:t>
      </w:r>
      <w:r>
        <w:rPr>
          <w:rFonts w:ascii="Times New Roman" w:hAnsi="Times New Roman"/>
        </w:rPr>
        <w:t>教授《</w:t>
      </w:r>
      <w:r>
        <w:rPr>
          <w:rFonts w:hint="eastAsia" w:ascii="Times New Roman" w:hAnsi="Times New Roman"/>
        </w:rPr>
        <w:t>数字经济</w:t>
      </w:r>
      <w:r>
        <w:rPr>
          <w:rFonts w:ascii="Times New Roman" w:hAnsi="Times New Roman"/>
        </w:rPr>
        <w:t>》课程</w:t>
      </w:r>
      <w:r>
        <w:rPr>
          <w:rFonts w:hint="eastAsia" w:ascii="Times New Roman" w:hAnsi="Times New Roman"/>
        </w:rPr>
        <w:t>获批校级教学建设项目</w:t>
      </w:r>
      <w:r>
        <w:rPr>
          <w:rFonts w:ascii="Times New Roman" w:hAnsi="Times New Roman"/>
        </w:rPr>
        <w:t>；马涛老师《</w:t>
      </w:r>
      <w:r>
        <w:rPr>
          <w:rFonts w:hint="eastAsia" w:ascii="Times New Roman" w:hAnsi="Times New Roman"/>
        </w:rPr>
        <w:t>新文科背景下基于“四链融通”的产教融合协同育人模式探索</w:t>
      </w:r>
      <w:r>
        <w:rPr>
          <w:rFonts w:ascii="Times New Roman" w:hAnsi="Times New Roman"/>
        </w:rPr>
        <w:t>》</w:t>
      </w:r>
      <w:r>
        <w:rPr>
          <w:rFonts w:hint="eastAsia" w:ascii="Times New Roman" w:hAnsi="Times New Roman"/>
        </w:rPr>
        <w:t>获批校级教学建设项目</w:t>
      </w:r>
      <w:r>
        <w:rPr>
          <w:rFonts w:ascii="Times New Roman" w:hAnsi="Times New Roman"/>
        </w:rPr>
        <w:t>。</w:t>
      </w:r>
    </w:p>
    <w:p>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表1</w:t>
      </w:r>
      <w:r>
        <w:rPr>
          <w:rFonts w:ascii="Times New Roman" w:hAnsi="Times New Roman" w:cs="Times New Roman"/>
          <w:sz w:val="21"/>
          <w:szCs w:val="21"/>
        </w:rPr>
        <w:t>8</w:t>
      </w:r>
      <w:r>
        <w:rPr>
          <w:rFonts w:hint="eastAsia" w:ascii="Times New Roman" w:hAnsi="Times New Roman" w:cs="Times New Roman"/>
          <w:sz w:val="21"/>
          <w:szCs w:val="21"/>
        </w:rPr>
        <w:t xml:space="preserve"> 教师主持教学建设项目</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876"/>
        <w:gridCol w:w="3571"/>
        <w:gridCol w:w="2377"/>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1" w:type="dxa"/>
            <w:shd w:val="clear" w:color="auto" w:fill="auto"/>
            <w:vAlign w:val="center"/>
          </w:tcPr>
          <w:p>
            <w:pPr>
              <w:jc w:val="center"/>
              <w:rPr>
                <w:rFonts w:ascii="Times New Roman" w:hAnsi="Times New Roman" w:cs="Times New Roman"/>
                <w:sz w:val="21"/>
                <w:szCs w:val="21"/>
              </w:rPr>
            </w:pPr>
            <w:bookmarkStart w:id="80" w:name="_Hlk103198709"/>
            <w:r>
              <w:rPr>
                <w:rFonts w:hint="eastAsia" w:ascii="Times New Roman" w:hAnsi="Times New Roman" w:cs="Times New Roman"/>
                <w:sz w:val="21"/>
                <w:szCs w:val="21"/>
              </w:rPr>
              <w:t>序号</w:t>
            </w:r>
          </w:p>
        </w:tc>
        <w:tc>
          <w:tcPr>
            <w:tcW w:w="876"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负责人</w:t>
            </w:r>
          </w:p>
        </w:tc>
        <w:tc>
          <w:tcPr>
            <w:tcW w:w="357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项目名称</w:t>
            </w:r>
          </w:p>
        </w:tc>
        <w:tc>
          <w:tcPr>
            <w:tcW w:w="237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课题来源</w:t>
            </w:r>
          </w:p>
        </w:tc>
        <w:tc>
          <w:tcPr>
            <w:tcW w:w="82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876" w:type="dxa"/>
            <w:shd w:val="clear" w:color="auto" w:fill="auto"/>
          </w:tcPr>
          <w:p>
            <w:pPr>
              <w:jc w:val="center"/>
              <w:rPr>
                <w:rFonts w:hint="eastAsia" w:ascii="Times New Roman" w:hAnsi="Times New Roman" w:cs="Times New Roman"/>
                <w:sz w:val="21"/>
                <w:szCs w:val="21"/>
              </w:rPr>
            </w:pPr>
            <w:r>
              <w:rPr>
                <w:rFonts w:hint="eastAsia" w:ascii="Times New Roman" w:hAnsi="Times New Roman" w:cs="Times New Roman"/>
                <w:sz w:val="21"/>
                <w:szCs w:val="21"/>
              </w:rPr>
              <w:t>胡斌</w:t>
            </w:r>
          </w:p>
        </w:tc>
        <w:tc>
          <w:tcPr>
            <w:tcW w:w="3571" w:type="dxa"/>
            <w:shd w:val="clear" w:color="auto" w:fill="auto"/>
          </w:tcPr>
          <w:p>
            <w:pPr>
              <w:jc w:val="center"/>
              <w:rPr>
                <w:rFonts w:hint="eastAsia" w:ascii="Times New Roman" w:hAnsi="Times New Roman" w:cs="Times New Roman"/>
                <w:sz w:val="21"/>
                <w:szCs w:val="21"/>
              </w:rPr>
            </w:pPr>
            <w:r>
              <w:rPr>
                <w:rFonts w:hint="eastAsia" w:ascii="Times New Roman" w:hAnsi="Times New Roman" w:cs="Times New Roman"/>
                <w:sz w:val="21"/>
                <w:szCs w:val="21"/>
              </w:rPr>
              <w:t>管理学</w:t>
            </w:r>
          </w:p>
        </w:tc>
        <w:tc>
          <w:tcPr>
            <w:tcW w:w="2377" w:type="dxa"/>
            <w:shd w:val="clear" w:color="auto" w:fill="auto"/>
          </w:tcPr>
          <w:p>
            <w:pPr>
              <w:jc w:val="center"/>
              <w:rPr>
                <w:rFonts w:ascii="Times New Roman" w:hAnsi="Times New Roman" w:cs="Times New Roman"/>
                <w:sz w:val="21"/>
                <w:szCs w:val="21"/>
              </w:rPr>
            </w:pPr>
            <w:r>
              <w:rPr>
                <w:rFonts w:hint="eastAsia" w:ascii="Times New Roman" w:hAnsi="Times New Roman" w:cs="Times New Roman"/>
                <w:sz w:val="21"/>
                <w:szCs w:val="21"/>
              </w:rPr>
              <w:t>上海高校市级重点课程</w:t>
            </w:r>
          </w:p>
        </w:tc>
        <w:tc>
          <w:tcPr>
            <w:tcW w:w="821" w:type="dxa"/>
            <w:shd w:val="clear" w:color="auto" w:fill="auto"/>
          </w:tcPr>
          <w:p>
            <w:pPr>
              <w:jc w:val="center"/>
              <w:rPr>
                <w:rFonts w:ascii="Times New Roman" w:hAnsi="Times New Roman" w:cs="Times New Roman"/>
                <w:sz w:val="21"/>
                <w:szCs w:val="21"/>
              </w:rPr>
            </w:pPr>
            <w:r>
              <w:rPr>
                <w:rFonts w:ascii="Times New Roman" w:hAnsi="Times New Roman" w:cs="Times New Roman"/>
                <w:sz w:val="21"/>
                <w:szCs w:val="21"/>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876" w:type="dxa"/>
            <w:shd w:val="clear" w:color="auto" w:fill="auto"/>
          </w:tcPr>
          <w:p>
            <w:pPr>
              <w:jc w:val="center"/>
              <w:rPr>
                <w:rFonts w:hint="eastAsia" w:ascii="Times New Roman" w:hAnsi="Times New Roman" w:cs="Times New Roman"/>
                <w:sz w:val="21"/>
                <w:szCs w:val="21"/>
              </w:rPr>
            </w:pPr>
            <w:r>
              <w:rPr>
                <w:rFonts w:hint="eastAsia" w:ascii="Times New Roman" w:hAnsi="Times New Roman" w:cs="Times New Roman"/>
                <w:sz w:val="21"/>
                <w:szCs w:val="21"/>
              </w:rPr>
              <w:t>董晓松</w:t>
            </w:r>
          </w:p>
        </w:tc>
        <w:tc>
          <w:tcPr>
            <w:tcW w:w="3571" w:type="dxa"/>
            <w:shd w:val="clear" w:color="auto" w:fill="auto"/>
          </w:tcPr>
          <w:p>
            <w:pPr>
              <w:jc w:val="center"/>
              <w:rPr>
                <w:rFonts w:hint="eastAsia" w:ascii="Times New Roman" w:hAnsi="Times New Roman" w:cs="Times New Roman"/>
                <w:sz w:val="21"/>
                <w:szCs w:val="21"/>
              </w:rPr>
            </w:pPr>
            <w:r>
              <w:rPr>
                <w:rFonts w:hint="eastAsia" w:ascii="Times New Roman" w:hAnsi="Times New Roman" w:cs="Times New Roman"/>
                <w:sz w:val="21"/>
                <w:szCs w:val="21"/>
              </w:rPr>
              <w:t>数字经济</w:t>
            </w:r>
          </w:p>
        </w:tc>
        <w:tc>
          <w:tcPr>
            <w:tcW w:w="2377" w:type="dxa"/>
            <w:shd w:val="clear" w:color="auto" w:fill="auto"/>
          </w:tcPr>
          <w:p>
            <w:pPr>
              <w:jc w:val="center"/>
              <w:rPr>
                <w:rFonts w:ascii="Times New Roman" w:hAnsi="Times New Roman" w:cs="Times New Roman"/>
                <w:sz w:val="21"/>
                <w:szCs w:val="21"/>
              </w:rPr>
            </w:pPr>
            <w:r>
              <w:rPr>
                <w:rFonts w:hint="eastAsia" w:ascii="Times New Roman" w:hAnsi="Times New Roman" w:cs="Times New Roman"/>
                <w:sz w:val="21"/>
                <w:szCs w:val="21"/>
              </w:rPr>
              <w:t>校级</w:t>
            </w:r>
            <w:r>
              <w:rPr>
                <w:rFonts w:ascii="Times New Roman" w:hAnsi="Times New Roman" w:cs="Times New Roman"/>
                <w:sz w:val="21"/>
                <w:szCs w:val="21"/>
              </w:rPr>
              <w:t>教学建设项目</w:t>
            </w:r>
          </w:p>
        </w:tc>
        <w:tc>
          <w:tcPr>
            <w:tcW w:w="821" w:type="dxa"/>
            <w:shd w:val="clear" w:color="auto" w:fill="auto"/>
          </w:tcPr>
          <w:p>
            <w:pPr>
              <w:jc w:val="center"/>
              <w:rPr>
                <w:rFonts w:ascii="Times New Roman" w:hAnsi="Times New Roman" w:cs="Times New Roman"/>
                <w:sz w:val="21"/>
                <w:szCs w:val="21"/>
              </w:rPr>
            </w:pPr>
            <w:r>
              <w:rPr>
                <w:rFonts w:ascii="Times New Roman" w:hAnsi="Times New Roman" w:cs="Times New Roman"/>
                <w:sz w:val="21"/>
                <w:szCs w:val="21"/>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1"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876" w:type="dxa"/>
            <w:shd w:val="clear" w:color="auto" w:fill="auto"/>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马涛</w:t>
            </w:r>
          </w:p>
        </w:tc>
        <w:tc>
          <w:tcPr>
            <w:tcW w:w="3571" w:type="dxa"/>
            <w:shd w:val="clear" w:color="auto" w:fill="auto"/>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新文科背景下基于“四链融通”的产教融合协同育人模式探索</w:t>
            </w:r>
          </w:p>
        </w:tc>
        <w:tc>
          <w:tcPr>
            <w:tcW w:w="237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校级</w:t>
            </w:r>
            <w:r>
              <w:rPr>
                <w:rFonts w:ascii="Times New Roman" w:hAnsi="Times New Roman" w:cs="Times New Roman"/>
                <w:sz w:val="21"/>
                <w:szCs w:val="21"/>
              </w:rPr>
              <w:t>教学建设项目</w:t>
            </w:r>
          </w:p>
        </w:tc>
        <w:tc>
          <w:tcPr>
            <w:tcW w:w="821"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2023</w:t>
            </w:r>
          </w:p>
        </w:tc>
      </w:tr>
      <w:bookmarkEnd w:id="80"/>
    </w:tbl>
    <w:p>
      <w:pPr>
        <w:spacing w:line="360" w:lineRule="auto"/>
        <w:ind w:firstLine="480" w:firstLineChars="200"/>
        <w:jc w:val="both"/>
        <w:rPr>
          <w:rFonts w:hint="eastAsia" w:ascii="Times New Roman" w:hAnsi="Times New Roman"/>
        </w:rPr>
      </w:pPr>
    </w:p>
    <w:p>
      <w:pPr>
        <w:pStyle w:val="5"/>
        <w:rPr>
          <w:rFonts w:ascii="Times New Roman" w:hAnsi="Times New Roman" w:eastAsia="宋体" w:cstheme="minorBidi"/>
          <w:b w:val="0"/>
          <w:bCs w:val="0"/>
          <w:kern w:val="2"/>
          <w:sz w:val="24"/>
          <w:szCs w:val="24"/>
        </w:rPr>
      </w:pPr>
      <w:r>
        <w:rPr>
          <w:rFonts w:ascii="Times New Roman" w:hAnsi="Times New Roman" w:eastAsia="宋体" w:cstheme="minorBidi"/>
          <w:b w:val="0"/>
          <w:bCs w:val="0"/>
          <w:kern w:val="2"/>
          <w:sz w:val="24"/>
          <w:szCs w:val="24"/>
        </w:rPr>
        <w:t>4.3.2教师主编本专业教材情况</w:t>
      </w:r>
    </w:p>
    <w:p>
      <w:pPr>
        <w:adjustRightInd w:val="0"/>
        <w:snapToGrid w:val="0"/>
        <w:spacing w:line="400" w:lineRule="exact"/>
        <w:ind w:firstLine="475" w:firstLineChars="198"/>
        <w:rPr>
          <w:rFonts w:ascii="Times New Roman" w:hAnsi="Times New Roman"/>
        </w:rPr>
      </w:pPr>
      <w:r>
        <w:rPr>
          <w:rFonts w:hint="eastAsia" w:ascii="Times New Roman" w:hAnsi="Times New Roman"/>
        </w:rPr>
        <w:t>工商管理专业教师黄炜老师在2022-2023</w:t>
      </w:r>
      <w:r>
        <w:rPr>
          <w:rFonts w:ascii="Times New Roman" w:hAnsi="Times New Roman"/>
        </w:rPr>
        <w:t>年度</w:t>
      </w:r>
      <w:r>
        <w:rPr>
          <w:rFonts w:hint="eastAsia" w:ascii="Times New Roman" w:hAnsi="Times New Roman"/>
        </w:rPr>
        <w:t>出版教材《国有资产管理（第二版）》。</w:t>
      </w:r>
    </w:p>
    <w:p>
      <w:pPr>
        <w:pStyle w:val="36"/>
        <w:spacing w:before="156" w:after="156"/>
      </w:pPr>
      <w:r>
        <w:rPr>
          <w:rFonts w:hint="eastAsia"/>
        </w:rPr>
        <w:t>表1</w:t>
      </w:r>
      <w:r>
        <w:t>9</w:t>
      </w:r>
      <w:r>
        <w:rPr>
          <w:rFonts w:hint="eastAsia"/>
        </w:rPr>
        <w:t xml:space="preserve"> 专业教师出版教材情况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783"/>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Times New Roman" w:hAnsi="Times New Roman"/>
                <w:sz w:val="21"/>
                <w:szCs w:val="21"/>
              </w:rPr>
            </w:pPr>
            <w:r>
              <w:rPr>
                <w:rFonts w:hint="eastAsia" w:ascii="Times New Roman" w:hAnsi="Times New Roman"/>
                <w:sz w:val="21"/>
                <w:szCs w:val="21"/>
              </w:rPr>
              <w:t>教师姓名</w:t>
            </w:r>
          </w:p>
        </w:tc>
        <w:tc>
          <w:tcPr>
            <w:tcW w:w="1659" w:type="dxa"/>
          </w:tcPr>
          <w:p>
            <w:pPr>
              <w:jc w:val="center"/>
              <w:rPr>
                <w:rFonts w:ascii="Times New Roman" w:hAnsi="Times New Roman"/>
                <w:sz w:val="21"/>
                <w:szCs w:val="21"/>
              </w:rPr>
            </w:pPr>
            <w:r>
              <w:rPr>
                <w:rFonts w:hint="eastAsia" w:ascii="Times New Roman" w:hAnsi="Times New Roman"/>
                <w:sz w:val="21"/>
                <w:szCs w:val="21"/>
              </w:rPr>
              <w:t>教材名称</w:t>
            </w:r>
          </w:p>
        </w:tc>
        <w:tc>
          <w:tcPr>
            <w:tcW w:w="1659" w:type="dxa"/>
          </w:tcPr>
          <w:p>
            <w:pPr>
              <w:jc w:val="center"/>
              <w:rPr>
                <w:rFonts w:ascii="Times New Roman" w:hAnsi="Times New Roman"/>
                <w:sz w:val="21"/>
                <w:szCs w:val="21"/>
              </w:rPr>
            </w:pPr>
            <w:r>
              <w:rPr>
                <w:rFonts w:hint="eastAsia" w:ascii="Times New Roman" w:hAnsi="Times New Roman"/>
                <w:sz w:val="21"/>
                <w:szCs w:val="21"/>
              </w:rPr>
              <w:t>I</w:t>
            </w:r>
            <w:r>
              <w:rPr>
                <w:rFonts w:ascii="Times New Roman" w:hAnsi="Times New Roman"/>
                <w:sz w:val="21"/>
                <w:szCs w:val="21"/>
              </w:rPr>
              <w:t>SBN</w:t>
            </w:r>
          </w:p>
        </w:tc>
        <w:tc>
          <w:tcPr>
            <w:tcW w:w="1659" w:type="dxa"/>
          </w:tcPr>
          <w:p>
            <w:pPr>
              <w:jc w:val="center"/>
              <w:rPr>
                <w:rFonts w:ascii="Times New Roman" w:hAnsi="Times New Roman"/>
                <w:sz w:val="21"/>
                <w:szCs w:val="21"/>
              </w:rPr>
            </w:pPr>
            <w:r>
              <w:rPr>
                <w:rFonts w:hint="eastAsia" w:ascii="Times New Roman" w:hAnsi="Times New Roman"/>
                <w:sz w:val="21"/>
                <w:szCs w:val="21"/>
              </w:rPr>
              <w:t>出版社</w:t>
            </w:r>
          </w:p>
        </w:tc>
        <w:tc>
          <w:tcPr>
            <w:tcW w:w="1660" w:type="dxa"/>
          </w:tcPr>
          <w:p>
            <w:pPr>
              <w:jc w:val="center"/>
              <w:rPr>
                <w:rFonts w:ascii="Times New Roman" w:hAnsi="Times New Roman"/>
                <w:sz w:val="21"/>
                <w:szCs w:val="21"/>
              </w:rPr>
            </w:pPr>
            <w:r>
              <w:rPr>
                <w:rFonts w:hint="eastAsia" w:ascii="Times New Roman" w:hAnsi="Times New Roman"/>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Times New Roman" w:hAnsi="Times New Roman"/>
                <w:sz w:val="20"/>
                <w:szCs w:val="20"/>
              </w:rPr>
            </w:pPr>
            <w:r>
              <w:rPr>
                <w:rFonts w:ascii="Times New Roman" w:hAnsi="Times New Roman"/>
                <w:sz w:val="20"/>
                <w:szCs w:val="20"/>
              </w:rPr>
              <w:t>黄炜</w:t>
            </w:r>
          </w:p>
        </w:tc>
        <w:tc>
          <w:tcPr>
            <w:tcW w:w="1659" w:type="dxa"/>
            <w:vAlign w:val="center"/>
          </w:tcPr>
          <w:p>
            <w:pPr>
              <w:jc w:val="center"/>
              <w:rPr>
                <w:rFonts w:ascii="Times New Roman" w:hAnsi="Times New Roman"/>
                <w:sz w:val="20"/>
                <w:szCs w:val="20"/>
              </w:rPr>
            </w:pPr>
            <w:r>
              <w:rPr>
                <w:rFonts w:ascii="Times New Roman" w:hAnsi="Times New Roman"/>
                <w:sz w:val="20"/>
                <w:szCs w:val="20"/>
              </w:rPr>
              <w:t>国有资产管理（第二版）</w:t>
            </w:r>
          </w:p>
        </w:tc>
        <w:tc>
          <w:tcPr>
            <w:tcW w:w="1659" w:type="dxa"/>
            <w:vAlign w:val="center"/>
          </w:tcPr>
          <w:p>
            <w:pPr>
              <w:jc w:val="center"/>
              <w:rPr>
                <w:rFonts w:ascii="Times New Roman" w:hAnsi="Times New Roman"/>
                <w:sz w:val="20"/>
                <w:szCs w:val="20"/>
              </w:rPr>
            </w:pPr>
            <w:r>
              <w:rPr>
                <w:rFonts w:ascii="Times New Roman" w:hAnsi="Times New Roman"/>
                <w:sz w:val="20"/>
                <w:szCs w:val="20"/>
              </w:rPr>
              <w:t>978-7-5642-3969-5</w:t>
            </w:r>
          </w:p>
        </w:tc>
        <w:tc>
          <w:tcPr>
            <w:tcW w:w="1659" w:type="dxa"/>
            <w:vAlign w:val="center"/>
          </w:tcPr>
          <w:p>
            <w:pPr>
              <w:jc w:val="center"/>
              <w:rPr>
                <w:rFonts w:ascii="Times New Roman" w:hAnsi="Times New Roman"/>
                <w:sz w:val="20"/>
                <w:szCs w:val="20"/>
              </w:rPr>
            </w:pPr>
            <w:r>
              <w:rPr>
                <w:rFonts w:ascii="Times New Roman" w:hAnsi="Times New Roman"/>
                <w:sz w:val="20"/>
                <w:szCs w:val="20"/>
              </w:rPr>
              <w:t>上海财经大学出版社</w:t>
            </w:r>
          </w:p>
        </w:tc>
        <w:tc>
          <w:tcPr>
            <w:tcW w:w="1660" w:type="dxa"/>
            <w:vAlign w:val="center"/>
          </w:tcPr>
          <w:p>
            <w:pPr>
              <w:jc w:val="center"/>
              <w:rPr>
                <w:rFonts w:ascii="Times New Roman" w:hAnsi="Times New Roman"/>
                <w:sz w:val="20"/>
                <w:szCs w:val="20"/>
              </w:rPr>
            </w:pPr>
            <w:r>
              <w:rPr>
                <w:rFonts w:ascii="Times New Roman" w:hAnsi="Times New Roman"/>
                <w:sz w:val="20"/>
                <w:szCs w:val="20"/>
              </w:rPr>
              <w:t>2022</w:t>
            </w:r>
          </w:p>
        </w:tc>
      </w:tr>
    </w:tbl>
    <w:p>
      <w:pPr>
        <w:rPr>
          <w:rFonts w:ascii="Times New Roman" w:hAnsi="Times New Roman"/>
        </w:rPr>
      </w:pPr>
    </w:p>
    <w:p>
      <w:pPr>
        <w:pStyle w:val="3"/>
        <w:pageBreakBefore/>
        <w:spacing w:after="120" w:line="415" w:lineRule="auto"/>
        <w:jc w:val="left"/>
        <w:rPr>
          <w:rFonts w:ascii="Times New Roman" w:hAnsi="Times New Roman"/>
          <w:sz w:val="28"/>
          <w:szCs w:val="28"/>
        </w:rPr>
      </w:pPr>
      <w:bookmarkStart w:id="81" w:name="_Toc159705228"/>
      <w:r>
        <w:rPr>
          <w:rFonts w:ascii="Times New Roman" w:hAnsi="Times New Roman"/>
          <w:sz w:val="28"/>
          <w:szCs w:val="28"/>
        </w:rPr>
        <w:t>5.支持条件</w:t>
      </w:r>
      <w:bookmarkEnd w:id="81"/>
      <w:r>
        <w:rPr>
          <w:rFonts w:ascii="Times New Roman" w:hAnsi="Times New Roman"/>
          <w:sz w:val="28"/>
          <w:szCs w:val="28"/>
        </w:rPr>
        <w:t xml:space="preserve"> </w:t>
      </w:r>
    </w:p>
    <w:p>
      <w:pPr>
        <w:pStyle w:val="4"/>
        <w:rPr>
          <w:rFonts w:ascii="Times New Roman" w:hAnsi="Times New Roman" w:eastAsia="宋体"/>
          <w:b w:val="0"/>
          <w:bCs w:val="0"/>
          <w:sz w:val="24"/>
          <w:szCs w:val="24"/>
        </w:rPr>
      </w:pPr>
      <w:bookmarkStart w:id="82" w:name="_Toc159705229"/>
      <w:r>
        <w:rPr>
          <w:rFonts w:ascii="Times New Roman" w:hAnsi="Times New Roman" w:eastAsia="宋体"/>
          <w:b w:val="0"/>
          <w:bCs w:val="0"/>
          <w:sz w:val="24"/>
          <w:szCs w:val="24"/>
        </w:rPr>
        <w:t>5.1学校生均教学经费情况</w:t>
      </w:r>
      <w:bookmarkEnd w:id="82"/>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专业的日常教学经费由学校、学院统筹安排，用于专业师资队伍建设、课程建设、教材建设、教学方法及教学手段改革等经费较充足。其中生均教学日常运行支出5068.5元，生均实验经费支出1017.74元，生均实习经费支出410.89元。</w:t>
      </w:r>
    </w:p>
    <w:p>
      <w:pPr>
        <w:pStyle w:val="36"/>
        <w:spacing w:before="156" w:after="156"/>
        <w:rPr>
          <w:szCs w:val="28"/>
        </w:rPr>
      </w:pPr>
      <w:r>
        <w:t>表</w:t>
      </w:r>
      <w:r>
        <w:rPr>
          <w:rFonts w:hint="eastAsia"/>
        </w:rPr>
        <w:t>2</w:t>
      </w:r>
      <w:r>
        <w:t xml:space="preserve">0 </w:t>
      </w:r>
      <w:r>
        <w:rPr>
          <w:rFonts w:hint="eastAsia"/>
        </w:rPr>
        <w:t>工商管理</w:t>
      </w:r>
      <w:r>
        <w:t>专业</w:t>
      </w:r>
      <w:r>
        <w:rPr>
          <w:rFonts w:hint="eastAsia"/>
        </w:rPr>
        <w:t>生均教学经费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4731" w:type="dxa"/>
            <w:vAlign w:val="center"/>
          </w:tcPr>
          <w:p>
            <w:pPr>
              <w:jc w:val="center"/>
              <w:rPr>
                <w:rFonts w:ascii="Times New Roman" w:hAnsi="Times New Roman"/>
                <w:sz w:val="21"/>
                <w:szCs w:val="21"/>
              </w:rPr>
            </w:pPr>
            <w:r>
              <w:rPr>
                <w:rFonts w:ascii="Times New Roman" w:hAnsi="Times New Roman"/>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rFonts w:ascii="Times New Roman" w:hAnsi="Times New Roman"/>
                <w:sz w:val="21"/>
                <w:szCs w:val="21"/>
              </w:rPr>
            </w:pPr>
            <w:r>
              <w:rPr>
                <w:rFonts w:hint="eastAsia" w:ascii="Times New Roman" w:hAnsi="Times New Roman"/>
                <w:sz w:val="21"/>
                <w:szCs w:val="21"/>
              </w:rPr>
              <w:t>生均教学日常运行支出</w:t>
            </w:r>
          </w:p>
        </w:tc>
        <w:tc>
          <w:tcPr>
            <w:tcW w:w="4731" w:type="dxa"/>
            <w:vAlign w:val="center"/>
          </w:tcPr>
          <w:p>
            <w:pPr>
              <w:jc w:val="center"/>
              <w:rPr>
                <w:rFonts w:ascii="Times New Roman" w:hAnsi="Times New Roman"/>
                <w:sz w:val="21"/>
                <w:szCs w:val="21"/>
              </w:rPr>
            </w:pPr>
            <w:r>
              <w:rPr>
                <w:rFonts w:ascii="Times New Roman" w:hAnsi="Times New Roman"/>
                <w:sz w:val="21"/>
                <w:szCs w:val="21"/>
              </w:rPr>
              <w:t>5068.5</w:t>
            </w:r>
            <w:bookmarkStart w:id="83" w:name="OLE_LINK47"/>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rFonts w:ascii="Times New Roman" w:hAnsi="Times New Roman"/>
                <w:sz w:val="21"/>
                <w:szCs w:val="21"/>
              </w:rPr>
            </w:pPr>
            <w:r>
              <w:rPr>
                <w:rFonts w:hint="eastAsia" w:ascii="Times New Roman" w:hAnsi="Times New Roman"/>
                <w:sz w:val="21"/>
                <w:szCs w:val="21"/>
              </w:rPr>
              <w:t>生均实验经费支出</w:t>
            </w:r>
          </w:p>
        </w:tc>
        <w:tc>
          <w:tcPr>
            <w:tcW w:w="4731" w:type="dxa"/>
            <w:vAlign w:val="center"/>
          </w:tcPr>
          <w:p>
            <w:pPr>
              <w:jc w:val="center"/>
              <w:rPr>
                <w:rFonts w:ascii="Times New Roman" w:hAnsi="Times New Roman"/>
                <w:sz w:val="21"/>
                <w:szCs w:val="21"/>
              </w:rPr>
            </w:pPr>
            <w:r>
              <w:rPr>
                <w:rFonts w:ascii="Times New Roman" w:hAnsi="Times New Roman"/>
                <w:sz w:val="21"/>
                <w:szCs w:val="21"/>
              </w:rPr>
              <w:t>1017.74</w:t>
            </w:r>
            <w:bookmarkStart w:id="84" w:name="OLE_LINK48"/>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rFonts w:ascii="Times New Roman" w:hAnsi="Times New Roman"/>
                <w:sz w:val="21"/>
                <w:szCs w:val="21"/>
              </w:rPr>
            </w:pPr>
            <w:r>
              <w:rPr>
                <w:rFonts w:hint="eastAsia" w:ascii="Times New Roman" w:hAnsi="Times New Roman"/>
                <w:sz w:val="21"/>
                <w:szCs w:val="21"/>
              </w:rPr>
              <w:t>生均实习经费支出</w:t>
            </w:r>
          </w:p>
        </w:tc>
        <w:tc>
          <w:tcPr>
            <w:tcW w:w="4731" w:type="dxa"/>
            <w:vAlign w:val="center"/>
          </w:tcPr>
          <w:p>
            <w:pPr>
              <w:jc w:val="center"/>
              <w:rPr>
                <w:rFonts w:ascii="Times New Roman" w:hAnsi="Times New Roman"/>
                <w:sz w:val="21"/>
                <w:szCs w:val="21"/>
              </w:rPr>
            </w:pPr>
            <w:r>
              <w:rPr>
                <w:rFonts w:ascii="Times New Roman" w:hAnsi="Times New Roman"/>
                <w:sz w:val="21"/>
                <w:szCs w:val="21"/>
              </w:rPr>
              <w:t>410.89</w:t>
            </w:r>
          </w:p>
        </w:tc>
      </w:tr>
    </w:tbl>
    <w:p>
      <w:pPr>
        <w:rPr>
          <w:rFonts w:ascii="Times New Roman" w:hAnsi="Times New Roman"/>
        </w:rPr>
      </w:pPr>
    </w:p>
    <w:p>
      <w:pPr>
        <w:pStyle w:val="4"/>
        <w:rPr>
          <w:rFonts w:ascii="Times New Roman" w:hAnsi="Times New Roman" w:eastAsia="宋体"/>
          <w:b w:val="0"/>
          <w:bCs w:val="0"/>
          <w:sz w:val="24"/>
          <w:szCs w:val="24"/>
        </w:rPr>
      </w:pPr>
      <w:bookmarkStart w:id="85" w:name="_Toc159705230"/>
      <w:r>
        <w:rPr>
          <w:rFonts w:ascii="Times New Roman" w:hAnsi="Times New Roman" w:eastAsia="宋体"/>
          <w:b w:val="0"/>
          <w:bCs w:val="0"/>
          <w:sz w:val="24"/>
          <w:szCs w:val="24"/>
        </w:rPr>
        <w:t>5.2支撑专业实验教学校内场所情况</w:t>
      </w:r>
      <w:bookmarkEnd w:id="85"/>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目前学院共有实验室10个，其中与专业相关</w:t>
      </w:r>
      <w:r>
        <w:rPr>
          <w:rFonts w:hint="eastAsia" w:ascii="Times New Roman" w:hAnsi="Times New Roman" w:cs="Times New Roman"/>
          <w:szCs w:val="28"/>
        </w:rPr>
        <w:t>的基础</w:t>
      </w:r>
      <w:r>
        <w:rPr>
          <w:rFonts w:ascii="Times New Roman" w:hAnsi="Times New Roman" w:cs="Times New Roman"/>
          <w:szCs w:val="28"/>
        </w:rPr>
        <w:t>实验室1个，</w:t>
      </w:r>
      <w:r>
        <w:rPr>
          <w:rFonts w:hint="eastAsia" w:ascii="Times New Roman" w:hAnsi="Times New Roman" w:cs="Times New Roman"/>
          <w:szCs w:val="28"/>
        </w:rPr>
        <w:t>承担实验课程门数1门，面积1</w:t>
      </w:r>
      <w:r>
        <w:rPr>
          <w:rFonts w:ascii="Times New Roman" w:hAnsi="Times New Roman" w:cs="Times New Roman"/>
          <w:szCs w:val="28"/>
        </w:rPr>
        <w:t>61.88</w:t>
      </w:r>
      <w:r>
        <w:rPr>
          <w:rFonts w:hint="eastAsia" w:ascii="Times New Roman" w:hAnsi="Times New Roman" w:cs="Times New Roman"/>
          <w:szCs w:val="28"/>
        </w:rPr>
        <w:t>平方米。</w:t>
      </w:r>
      <w:r>
        <w:rPr>
          <w:rFonts w:ascii="Times New Roman" w:hAnsi="Times New Roman" w:cs="Times New Roman"/>
          <w:szCs w:val="28"/>
        </w:rPr>
        <w:t>另</w:t>
      </w:r>
      <w:r>
        <w:rPr>
          <w:rFonts w:hint="eastAsia" w:ascii="Times New Roman" w:hAnsi="Times New Roman" w:cs="Times New Roman"/>
          <w:szCs w:val="28"/>
        </w:rPr>
        <w:t>有</w:t>
      </w:r>
      <w:r>
        <w:rPr>
          <w:rFonts w:ascii="Times New Roman" w:hAnsi="Times New Roman" w:cs="Times New Roman"/>
          <w:szCs w:val="28"/>
        </w:rPr>
        <w:t>与其他专业共享实验室，实验开出率100%。</w:t>
      </w:r>
    </w:p>
    <w:p>
      <w:pPr>
        <w:pStyle w:val="36"/>
        <w:spacing w:before="156" w:after="156"/>
        <w:rPr>
          <w:color w:val="FF0000"/>
          <w:szCs w:val="28"/>
        </w:rPr>
      </w:pPr>
      <w:r>
        <w:t>表</w:t>
      </w:r>
      <w:r>
        <w:rPr>
          <w:rFonts w:hint="eastAsia"/>
        </w:rPr>
        <w:t>2</w:t>
      </w:r>
      <w:r>
        <w:t xml:space="preserve">1 </w:t>
      </w:r>
      <w:r>
        <w:rPr>
          <w:rFonts w:hint="eastAsia"/>
        </w:rPr>
        <w:t>工商管理专业实验教学校内场所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229" w:type="dxa"/>
            <w:vAlign w:val="center"/>
          </w:tcPr>
          <w:p>
            <w:pPr>
              <w:jc w:val="center"/>
              <w:rPr>
                <w:rFonts w:ascii="Times New Roman" w:hAnsi="Times New Roman"/>
                <w:sz w:val="21"/>
                <w:szCs w:val="21"/>
              </w:rPr>
            </w:pPr>
            <w:r>
              <w:rPr>
                <w:rFonts w:hint="eastAsia" w:ascii="Times New Roman" w:hAnsi="Times New Roman"/>
                <w:sz w:val="21"/>
                <w:szCs w:val="21"/>
              </w:rPr>
              <w:t>数量</w:t>
            </w:r>
          </w:p>
        </w:tc>
        <w:tc>
          <w:tcPr>
            <w:tcW w:w="1782" w:type="dxa"/>
            <w:vAlign w:val="center"/>
          </w:tcPr>
          <w:p>
            <w:pPr>
              <w:jc w:val="center"/>
              <w:rPr>
                <w:rFonts w:ascii="Times New Roman" w:hAnsi="Times New Roman"/>
                <w:sz w:val="21"/>
                <w:szCs w:val="21"/>
              </w:rPr>
            </w:pPr>
            <w:r>
              <w:rPr>
                <w:rFonts w:hint="eastAsia" w:ascii="Times New Roman" w:hAnsi="Times New Roman"/>
                <w:sz w:val="21"/>
                <w:szCs w:val="21"/>
              </w:rPr>
              <w:t>承担实验课程门数</w:t>
            </w:r>
          </w:p>
        </w:tc>
        <w:tc>
          <w:tcPr>
            <w:tcW w:w="1229" w:type="dxa"/>
            <w:vAlign w:val="center"/>
          </w:tcPr>
          <w:p>
            <w:pPr>
              <w:jc w:val="center"/>
              <w:rPr>
                <w:rFonts w:ascii="Times New Roman" w:hAnsi="Times New Roman"/>
                <w:sz w:val="21"/>
                <w:szCs w:val="21"/>
              </w:rPr>
            </w:pPr>
            <w:r>
              <w:rPr>
                <w:rFonts w:hint="eastAsia" w:ascii="Times New Roman" w:hAnsi="Times New Roman"/>
                <w:sz w:val="21"/>
                <w:szCs w:val="21"/>
              </w:rPr>
              <w:t>面积（平方米）</w:t>
            </w:r>
          </w:p>
        </w:tc>
        <w:tc>
          <w:tcPr>
            <w:tcW w:w="1505" w:type="dxa"/>
            <w:vAlign w:val="center"/>
          </w:tcPr>
          <w:p>
            <w:pPr>
              <w:jc w:val="center"/>
              <w:rPr>
                <w:rFonts w:ascii="Times New Roman" w:hAnsi="Times New Roman"/>
                <w:sz w:val="21"/>
                <w:szCs w:val="21"/>
              </w:rPr>
            </w:pPr>
            <w:r>
              <w:rPr>
                <w:rFonts w:hint="eastAsia" w:ascii="Times New Roman" w:hAnsi="Times New Roman"/>
                <w:sz w:val="21"/>
                <w:szCs w:val="21"/>
              </w:rPr>
              <w:t>设备台套数</w:t>
            </w:r>
          </w:p>
        </w:tc>
        <w:tc>
          <w:tcPr>
            <w:tcW w:w="1321" w:type="dxa"/>
            <w:vAlign w:val="center"/>
          </w:tcPr>
          <w:p>
            <w:pPr>
              <w:jc w:val="center"/>
              <w:rPr>
                <w:rFonts w:ascii="Times New Roman" w:hAnsi="Times New Roman"/>
                <w:sz w:val="21"/>
                <w:szCs w:val="21"/>
              </w:rPr>
            </w:pPr>
            <w:r>
              <w:rPr>
                <w:rFonts w:hint="eastAsia" w:ascii="Times New Roman" w:hAnsi="Times New Roman"/>
                <w:sz w:val="21"/>
                <w:szCs w:val="21"/>
              </w:rPr>
              <w:t>设备值（万元）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0"/>
                <w:szCs w:val="20"/>
              </w:rPr>
            </w:pPr>
            <w:r>
              <w:rPr>
                <w:rFonts w:ascii="Times New Roman" w:hAnsi="Times New Roman"/>
                <w:sz w:val="20"/>
                <w:szCs w:val="20"/>
              </w:rPr>
              <w:t>专业实验室</w:t>
            </w:r>
          </w:p>
        </w:tc>
        <w:tc>
          <w:tcPr>
            <w:tcW w:w="1229" w:type="dxa"/>
            <w:vAlign w:val="center"/>
          </w:tcPr>
          <w:p>
            <w:pPr>
              <w:jc w:val="center"/>
              <w:rPr>
                <w:rFonts w:ascii="Times New Roman" w:hAnsi="Times New Roman"/>
                <w:sz w:val="20"/>
                <w:szCs w:val="20"/>
              </w:rPr>
            </w:pPr>
            <w:r>
              <w:rPr>
                <w:rFonts w:ascii="Times New Roman" w:hAnsi="Times New Roman"/>
                <w:sz w:val="20"/>
                <w:szCs w:val="20"/>
              </w:rPr>
              <w:t>0</w:t>
            </w:r>
            <w:bookmarkStart w:id="86" w:name="OLE_LINK49"/>
            <w:bookmarkEnd w:id="86"/>
          </w:p>
        </w:tc>
        <w:tc>
          <w:tcPr>
            <w:tcW w:w="1782" w:type="dxa"/>
            <w:vAlign w:val="center"/>
          </w:tcPr>
          <w:p>
            <w:pPr>
              <w:jc w:val="center"/>
              <w:rPr>
                <w:rFonts w:ascii="Times New Roman" w:hAnsi="Times New Roman"/>
                <w:sz w:val="20"/>
                <w:szCs w:val="20"/>
              </w:rPr>
            </w:pPr>
            <w:r>
              <w:rPr>
                <w:rFonts w:ascii="Times New Roman" w:hAnsi="Times New Roman"/>
                <w:sz w:val="20"/>
                <w:szCs w:val="20"/>
              </w:rPr>
              <w:t>0</w:t>
            </w:r>
          </w:p>
        </w:tc>
        <w:tc>
          <w:tcPr>
            <w:tcW w:w="1229" w:type="dxa"/>
            <w:vAlign w:val="center"/>
          </w:tcPr>
          <w:p>
            <w:pPr>
              <w:jc w:val="center"/>
              <w:rPr>
                <w:rFonts w:ascii="Times New Roman" w:hAnsi="Times New Roman"/>
                <w:sz w:val="20"/>
                <w:szCs w:val="20"/>
              </w:rPr>
            </w:pPr>
            <w:r>
              <w:rPr>
                <w:rFonts w:ascii="Times New Roman" w:hAnsi="Times New Roman"/>
                <w:sz w:val="20"/>
                <w:szCs w:val="20"/>
              </w:rPr>
              <w:t>0</w:t>
            </w:r>
          </w:p>
        </w:tc>
        <w:tc>
          <w:tcPr>
            <w:tcW w:w="1505" w:type="dxa"/>
            <w:vAlign w:val="center"/>
          </w:tcPr>
          <w:p>
            <w:pPr>
              <w:jc w:val="center"/>
              <w:rPr>
                <w:rFonts w:ascii="Times New Roman" w:hAnsi="Times New Roman"/>
                <w:sz w:val="20"/>
                <w:szCs w:val="20"/>
              </w:rPr>
            </w:pPr>
            <w:r>
              <w:rPr>
                <w:rFonts w:ascii="Times New Roman" w:hAnsi="Times New Roman"/>
                <w:sz w:val="20"/>
                <w:szCs w:val="20"/>
              </w:rPr>
              <w:t>0</w:t>
            </w:r>
          </w:p>
        </w:tc>
        <w:tc>
          <w:tcPr>
            <w:tcW w:w="1321" w:type="dxa"/>
            <w:vAlign w:val="center"/>
          </w:tcPr>
          <w:p>
            <w:pPr>
              <w:jc w:val="center"/>
              <w:rPr>
                <w:rFonts w:ascii="Times New Roman" w:hAnsi="Times New Roman"/>
                <w:sz w:val="20"/>
                <w:szCs w:val="20"/>
              </w:rPr>
            </w:pPr>
            <w:r>
              <w:rPr>
                <w:rFonts w:ascii="Times New Roman" w:hAnsi="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0"/>
                <w:szCs w:val="20"/>
              </w:rPr>
            </w:pPr>
            <w:r>
              <w:rPr>
                <w:rFonts w:ascii="Times New Roman" w:hAnsi="Times New Roman"/>
                <w:sz w:val="20"/>
              </w:rPr>
              <w:t>基础实验室</w:t>
            </w:r>
          </w:p>
        </w:tc>
        <w:tc>
          <w:tcPr>
            <w:tcW w:w="1229" w:type="dxa"/>
            <w:vAlign w:val="center"/>
          </w:tcPr>
          <w:p>
            <w:pPr>
              <w:jc w:val="center"/>
              <w:rPr>
                <w:rFonts w:ascii="Times New Roman" w:hAnsi="Times New Roman"/>
                <w:sz w:val="20"/>
                <w:szCs w:val="20"/>
              </w:rPr>
            </w:pPr>
            <w:r>
              <w:rPr>
                <w:rFonts w:ascii="Times New Roman" w:hAnsi="Times New Roman"/>
                <w:sz w:val="20"/>
              </w:rPr>
              <w:t>1</w:t>
            </w:r>
          </w:p>
        </w:tc>
        <w:tc>
          <w:tcPr>
            <w:tcW w:w="1782" w:type="dxa"/>
            <w:vAlign w:val="center"/>
          </w:tcPr>
          <w:p>
            <w:pPr>
              <w:jc w:val="center"/>
              <w:rPr>
                <w:rFonts w:ascii="Times New Roman" w:hAnsi="Times New Roman"/>
                <w:sz w:val="20"/>
                <w:szCs w:val="20"/>
              </w:rPr>
            </w:pPr>
            <w:r>
              <w:rPr>
                <w:rFonts w:ascii="Times New Roman" w:hAnsi="Times New Roman"/>
                <w:sz w:val="20"/>
              </w:rPr>
              <w:t>1</w:t>
            </w:r>
          </w:p>
        </w:tc>
        <w:tc>
          <w:tcPr>
            <w:tcW w:w="1229" w:type="dxa"/>
            <w:vAlign w:val="center"/>
          </w:tcPr>
          <w:p>
            <w:pPr>
              <w:jc w:val="center"/>
              <w:rPr>
                <w:rFonts w:ascii="Times New Roman" w:hAnsi="Times New Roman"/>
                <w:sz w:val="20"/>
                <w:szCs w:val="20"/>
              </w:rPr>
            </w:pPr>
            <w:r>
              <w:rPr>
                <w:rFonts w:ascii="Times New Roman" w:hAnsi="Times New Roman"/>
                <w:sz w:val="20"/>
              </w:rPr>
              <w:t>161.88</w:t>
            </w:r>
          </w:p>
        </w:tc>
        <w:tc>
          <w:tcPr>
            <w:tcW w:w="1505" w:type="dxa"/>
            <w:vAlign w:val="center"/>
          </w:tcPr>
          <w:p>
            <w:pPr>
              <w:jc w:val="center"/>
              <w:rPr>
                <w:rFonts w:ascii="Times New Roman" w:hAnsi="Times New Roman"/>
                <w:sz w:val="20"/>
                <w:szCs w:val="20"/>
              </w:rPr>
            </w:pPr>
            <w:r>
              <w:rPr>
                <w:rFonts w:ascii="Times New Roman" w:hAnsi="Times New Roman"/>
                <w:sz w:val="20"/>
              </w:rPr>
              <w:t>0</w:t>
            </w:r>
          </w:p>
        </w:tc>
        <w:tc>
          <w:tcPr>
            <w:tcW w:w="1321" w:type="dxa"/>
            <w:vAlign w:val="center"/>
          </w:tcPr>
          <w:p>
            <w:pPr>
              <w:jc w:val="center"/>
              <w:rPr>
                <w:rFonts w:ascii="Times New Roman" w:hAnsi="Times New Roman"/>
                <w:sz w:val="20"/>
                <w:szCs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0"/>
                <w:szCs w:val="20"/>
              </w:rPr>
            </w:pPr>
            <w:r>
              <w:rPr>
                <w:rFonts w:ascii="Times New Roman" w:hAnsi="Times New Roman"/>
                <w:sz w:val="20"/>
              </w:rPr>
              <w:t>实习场所</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782" w:type="dxa"/>
            <w:vAlign w:val="center"/>
          </w:tcPr>
          <w:p>
            <w:pPr>
              <w:jc w:val="center"/>
              <w:rPr>
                <w:rFonts w:ascii="Times New Roman" w:hAnsi="Times New Roman"/>
                <w:sz w:val="20"/>
                <w:szCs w:val="20"/>
              </w:rPr>
            </w:pPr>
            <w:r>
              <w:rPr>
                <w:rFonts w:ascii="Times New Roman" w:hAnsi="Times New Roman"/>
                <w:sz w:val="20"/>
              </w:rPr>
              <w:t>0</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505" w:type="dxa"/>
            <w:vAlign w:val="center"/>
          </w:tcPr>
          <w:p>
            <w:pPr>
              <w:jc w:val="center"/>
              <w:rPr>
                <w:rFonts w:ascii="Times New Roman" w:hAnsi="Times New Roman"/>
                <w:sz w:val="20"/>
                <w:szCs w:val="20"/>
              </w:rPr>
            </w:pPr>
            <w:r>
              <w:rPr>
                <w:rFonts w:ascii="Times New Roman" w:hAnsi="Times New Roman"/>
                <w:sz w:val="20"/>
              </w:rPr>
              <w:t>0</w:t>
            </w:r>
          </w:p>
        </w:tc>
        <w:tc>
          <w:tcPr>
            <w:tcW w:w="1321" w:type="dxa"/>
            <w:vAlign w:val="center"/>
          </w:tcPr>
          <w:p>
            <w:pPr>
              <w:jc w:val="center"/>
              <w:rPr>
                <w:rFonts w:ascii="Times New Roman" w:hAnsi="Times New Roman"/>
                <w:sz w:val="20"/>
                <w:szCs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0"/>
                <w:szCs w:val="20"/>
              </w:rPr>
            </w:pPr>
            <w:r>
              <w:rPr>
                <w:rFonts w:ascii="Times New Roman" w:hAnsi="Times New Roman"/>
                <w:sz w:val="20"/>
              </w:rPr>
              <w:t>实训场所</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782" w:type="dxa"/>
            <w:vAlign w:val="center"/>
          </w:tcPr>
          <w:p>
            <w:pPr>
              <w:jc w:val="center"/>
              <w:rPr>
                <w:rFonts w:ascii="Times New Roman" w:hAnsi="Times New Roman"/>
                <w:sz w:val="20"/>
                <w:szCs w:val="20"/>
              </w:rPr>
            </w:pPr>
            <w:r>
              <w:rPr>
                <w:rFonts w:ascii="Times New Roman" w:hAnsi="Times New Roman"/>
                <w:sz w:val="20"/>
              </w:rPr>
              <w:t>0</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505" w:type="dxa"/>
            <w:vAlign w:val="center"/>
          </w:tcPr>
          <w:p>
            <w:pPr>
              <w:jc w:val="center"/>
              <w:rPr>
                <w:rFonts w:ascii="Times New Roman" w:hAnsi="Times New Roman"/>
                <w:sz w:val="20"/>
                <w:szCs w:val="20"/>
              </w:rPr>
            </w:pPr>
            <w:r>
              <w:rPr>
                <w:rFonts w:ascii="Times New Roman" w:hAnsi="Times New Roman"/>
                <w:sz w:val="20"/>
              </w:rPr>
              <w:t>0</w:t>
            </w:r>
          </w:p>
        </w:tc>
        <w:tc>
          <w:tcPr>
            <w:tcW w:w="1321" w:type="dxa"/>
            <w:vAlign w:val="center"/>
          </w:tcPr>
          <w:p>
            <w:pPr>
              <w:jc w:val="center"/>
              <w:rPr>
                <w:rFonts w:ascii="Times New Roman" w:hAnsi="Times New Roman"/>
                <w:sz w:val="20"/>
                <w:szCs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ascii="Times New Roman" w:hAnsi="Times New Roman"/>
                <w:sz w:val="20"/>
                <w:szCs w:val="20"/>
              </w:rPr>
            </w:pPr>
            <w:r>
              <w:rPr>
                <w:rFonts w:ascii="Times New Roman" w:hAnsi="Times New Roman"/>
                <w:sz w:val="20"/>
              </w:rPr>
              <w:t>其他</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782" w:type="dxa"/>
            <w:vAlign w:val="center"/>
          </w:tcPr>
          <w:p>
            <w:pPr>
              <w:jc w:val="center"/>
              <w:rPr>
                <w:rFonts w:ascii="Times New Roman" w:hAnsi="Times New Roman"/>
                <w:sz w:val="20"/>
                <w:szCs w:val="20"/>
              </w:rPr>
            </w:pPr>
            <w:r>
              <w:rPr>
                <w:rFonts w:ascii="Times New Roman" w:hAnsi="Times New Roman"/>
                <w:sz w:val="20"/>
              </w:rPr>
              <w:t>0</w:t>
            </w:r>
          </w:p>
        </w:tc>
        <w:tc>
          <w:tcPr>
            <w:tcW w:w="1229" w:type="dxa"/>
            <w:vAlign w:val="center"/>
          </w:tcPr>
          <w:p>
            <w:pPr>
              <w:jc w:val="center"/>
              <w:rPr>
                <w:rFonts w:ascii="Times New Roman" w:hAnsi="Times New Roman"/>
                <w:sz w:val="20"/>
                <w:szCs w:val="20"/>
              </w:rPr>
            </w:pPr>
            <w:r>
              <w:rPr>
                <w:rFonts w:ascii="Times New Roman" w:hAnsi="Times New Roman"/>
                <w:sz w:val="20"/>
              </w:rPr>
              <w:t>0</w:t>
            </w:r>
          </w:p>
        </w:tc>
        <w:tc>
          <w:tcPr>
            <w:tcW w:w="1505" w:type="dxa"/>
            <w:vAlign w:val="center"/>
          </w:tcPr>
          <w:p>
            <w:pPr>
              <w:jc w:val="center"/>
              <w:rPr>
                <w:rFonts w:ascii="Times New Roman" w:hAnsi="Times New Roman"/>
                <w:sz w:val="20"/>
                <w:szCs w:val="20"/>
              </w:rPr>
            </w:pPr>
            <w:r>
              <w:rPr>
                <w:rFonts w:ascii="Times New Roman" w:hAnsi="Times New Roman"/>
                <w:sz w:val="20"/>
              </w:rPr>
              <w:t>0</w:t>
            </w:r>
          </w:p>
        </w:tc>
        <w:tc>
          <w:tcPr>
            <w:tcW w:w="1321" w:type="dxa"/>
            <w:vAlign w:val="center"/>
          </w:tcPr>
          <w:p>
            <w:pPr>
              <w:jc w:val="center"/>
              <w:rPr>
                <w:rFonts w:ascii="Times New Roman" w:hAnsi="Times New Roman"/>
                <w:sz w:val="20"/>
                <w:szCs w:val="20"/>
              </w:rPr>
            </w:pPr>
            <w:r>
              <w:rPr>
                <w:rFonts w:ascii="Times New Roman" w:hAnsi="Times New Roman"/>
                <w:sz w:val="20"/>
              </w:rPr>
              <w:t>0</w:t>
            </w:r>
          </w:p>
        </w:tc>
      </w:tr>
    </w:tbl>
    <w:p>
      <w:pPr>
        <w:rPr>
          <w:rFonts w:ascii="Times New Roman" w:hAnsi="Times New Roman"/>
        </w:rPr>
      </w:pPr>
    </w:p>
    <w:p>
      <w:pPr>
        <w:pStyle w:val="4"/>
        <w:rPr>
          <w:rFonts w:ascii="Times New Roman" w:hAnsi="Times New Roman" w:eastAsia="宋体"/>
          <w:b w:val="0"/>
          <w:bCs w:val="0"/>
          <w:sz w:val="24"/>
          <w:szCs w:val="24"/>
        </w:rPr>
      </w:pPr>
      <w:bookmarkStart w:id="87" w:name="_Toc159705231"/>
      <w:r>
        <w:rPr>
          <w:rFonts w:ascii="Times New Roman" w:hAnsi="Times New Roman" w:eastAsia="宋体"/>
          <w:b w:val="0"/>
          <w:bCs w:val="0"/>
          <w:sz w:val="24"/>
          <w:szCs w:val="24"/>
        </w:rPr>
        <w:t>5.3校外本科教学实习实训基地情况</w:t>
      </w:r>
      <w:bookmarkEnd w:id="87"/>
    </w:p>
    <w:p>
      <w:pPr>
        <w:spacing w:line="360" w:lineRule="auto"/>
        <w:ind w:firstLine="480" w:firstLineChars="200"/>
        <w:jc w:val="both"/>
        <w:rPr>
          <w:rFonts w:hint="eastAsia" w:ascii="Times New Roman" w:hAnsi="Times New Roman"/>
          <w:szCs w:val="28"/>
        </w:rPr>
      </w:pPr>
      <w:r>
        <w:rPr>
          <w:rFonts w:hint="eastAsia" w:ascii="Times New Roman" w:hAnsi="Times New Roman"/>
          <w:szCs w:val="28"/>
        </w:rPr>
        <w:t>本专业在相关教学与科研工作中积淀了较好的实习资源，拓展了与行业、企业和地方政府的合作关系，建成长期合作的实习和实训基地，通过各类实践教学，组织学生到相关行业或企业生产现场见习。目前已与</w:t>
      </w:r>
      <w:r>
        <w:rPr>
          <w:rFonts w:ascii="Times New Roman" w:hAnsi="Times New Roman"/>
          <w:szCs w:val="28"/>
        </w:rPr>
        <w:t>5家企业签订了实习、产学研合作协议，建立了稳定的实习基地或实训基地，为本专业学生开展实习、实践、产学合作教育提供了保障。本专业实习基地能保证每学期至少有1批学生在基地实习与实践。</w:t>
      </w:r>
    </w:p>
    <w:p>
      <w:pPr>
        <w:pStyle w:val="36"/>
        <w:spacing w:before="156" w:after="156"/>
      </w:pPr>
      <w:r>
        <w:rPr>
          <w:rFonts w:hint="eastAsia"/>
        </w:rPr>
        <w:t>表2</w:t>
      </w:r>
      <w:r>
        <w:t>2</w:t>
      </w:r>
      <w:r>
        <w:rPr>
          <w:rFonts w:hint="eastAsia"/>
        </w:rPr>
        <w:t xml:space="preserve"> 2022-2023年度工商管理专业实习基地接纳学生数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rFonts w:ascii="Times New Roman" w:hAnsi="Times New Roman"/>
                <w:sz w:val="21"/>
                <w:szCs w:val="21"/>
              </w:rPr>
            </w:pPr>
            <w:r>
              <w:rPr>
                <w:rFonts w:hint="eastAsia" w:ascii="Times New Roman" w:hAnsi="Times New Roman"/>
                <w:sz w:val="21"/>
                <w:szCs w:val="21"/>
              </w:rPr>
              <w:t>基地名称</w:t>
            </w:r>
          </w:p>
        </w:tc>
        <w:tc>
          <w:tcPr>
            <w:tcW w:w="1401" w:type="dxa"/>
          </w:tcPr>
          <w:p>
            <w:pPr>
              <w:jc w:val="center"/>
              <w:rPr>
                <w:rFonts w:ascii="Times New Roman" w:hAnsi="Times New Roman"/>
                <w:sz w:val="21"/>
                <w:szCs w:val="21"/>
              </w:rPr>
            </w:pPr>
            <w:r>
              <w:rPr>
                <w:rFonts w:hint="eastAsia" w:ascii="Times New Roman" w:hAnsi="Times New Roman"/>
                <w:sz w:val="21"/>
                <w:szCs w:val="21"/>
              </w:rPr>
              <w:t>建立时间</w:t>
            </w:r>
          </w:p>
        </w:tc>
        <w:tc>
          <w:tcPr>
            <w:tcW w:w="2914" w:type="dxa"/>
          </w:tcPr>
          <w:p>
            <w:pPr>
              <w:jc w:val="center"/>
              <w:rPr>
                <w:rFonts w:ascii="Times New Roman" w:hAnsi="Times New Roman"/>
                <w:sz w:val="21"/>
                <w:szCs w:val="21"/>
              </w:rPr>
            </w:pPr>
            <w:r>
              <w:rPr>
                <w:rFonts w:hint="eastAsia" w:ascii="Times New Roman" w:hAnsi="Times New Roman"/>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ascii="Times New Roman" w:hAnsi="Times New Roman"/>
                <w:sz w:val="20"/>
                <w:szCs w:val="20"/>
              </w:rPr>
            </w:pPr>
            <w:r>
              <w:rPr>
                <w:rFonts w:ascii="Times New Roman" w:hAnsi="Times New Roman"/>
                <w:sz w:val="20"/>
                <w:szCs w:val="20"/>
              </w:rPr>
              <w:t>上海褒润建筑科技有限公司</w:t>
            </w:r>
          </w:p>
        </w:tc>
        <w:tc>
          <w:tcPr>
            <w:tcW w:w="1401" w:type="dxa"/>
            <w:vAlign w:val="center"/>
          </w:tcPr>
          <w:p>
            <w:pPr>
              <w:jc w:val="center"/>
              <w:rPr>
                <w:rFonts w:ascii="Times New Roman" w:hAnsi="Times New Roman"/>
                <w:sz w:val="20"/>
                <w:szCs w:val="20"/>
              </w:rPr>
            </w:pPr>
            <w:r>
              <w:rPr>
                <w:rFonts w:ascii="Times New Roman" w:hAnsi="Times New Roman"/>
                <w:sz w:val="20"/>
                <w:szCs w:val="20"/>
              </w:rPr>
              <w:t>2021</w:t>
            </w:r>
          </w:p>
        </w:tc>
        <w:tc>
          <w:tcPr>
            <w:tcW w:w="2914" w:type="dxa"/>
            <w:vAlign w:val="center"/>
          </w:tcPr>
          <w:p>
            <w:pPr>
              <w:jc w:val="center"/>
              <w:rPr>
                <w:rFonts w:ascii="Times New Roman" w:hAnsi="Times New Roman"/>
                <w:sz w:val="20"/>
                <w:szCs w:val="20"/>
              </w:rPr>
            </w:pPr>
            <w:r>
              <w:rPr>
                <w:rFonts w:ascii="Times New Roman" w:hAnsi="Times New Roman"/>
                <w:sz w:val="20"/>
                <w:szCs w:val="20"/>
              </w:rPr>
              <w:t>60</w:t>
            </w:r>
            <w:bookmarkStart w:id="88" w:name="OLE_LINK50"/>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ascii="Times New Roman" w:hAnsi="Times New Roman"/>
                <w:sz w:val="20"/>
                <w:szCs w:val="20"/>
              </w:rPr>
            </w:pPr>
            <w:r>
              <w:rPr>
                <w:rFonts w:ascii="Times New Roman" w:hAnsi="Times New Roman"/>
                <w:sz w:val="20"/>
              </w:rPr>
              <w:t>美化系统有限公司</w:t>
            </w:r>
          </w:p>
        </w:tc>
        <w:tc>
          <w:tcPr>
            <w:tcW w:w="1401" w:type="dxa"/>
            <w:vAlign w:val="center"/>
          </w:tcPr>
          <w:p>
            <w:pPr>
              <w:jc w:val="center"/>
              <w:rPr>
                <w:rFonts w:ascii="Times New Roman" w:hAnsi="Times New Roman"/>
                <w:sz w:val="20"/>
                <w:szCs w:val="20"/>
              </w:rPr>
            </w:pPr>
            <w:r>
              <w:rPr>
                <w:rFonts w:ascii="Times New Roman" w:hAnsi="Times New Roman"/>
                <w:sz w:val="20"/>
              </w:rPr>
              <w:t>2021</w:t>
            </w:r>
          </w:p>
        </w:tc>
        <w:tc>
          <w:tcPr>
            <w:tcW w:w="2914" w:type="dxa"/>
            <w:vAlign w:val="center"/>
          </w:tcPr>
          <w:p>
            <w:pPr>
              <w:jc w:val="center"/>
              <w:rPr>
                <w:rFonts w:ascii="Times New Roman" w:hAnsi="Times New Roman"/>
                <w:sz w:val="20"/>
                <w:szCs w:val="20"/>
              </w:rPr>
            </w:pPr>
            <w:r>
              <w:rPr>
                <w:rFonts w:ascii="Times New Roman" w:hAnsi="Times New Roman"/>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ascii="Times New Roman" w:hAnsi="Times New Roman"/>
                <w:sz w:val="20"/>
                <w:szCs w:val="20"/>
              </w:rPr>
            </w:pPr>
            <w:r>
              <w:rPr>
                <w:rFonts w:ascii="Times New Roman" w:hAnsi="Times New Roman"/>
                <w:sz w:val="20"/>
              </w:rPr>
              <w:t>曼恒数字技术有限公司</w:t>
            </w:r>
          </w:p>
        </w:tc>
        <w:tc>
          <w:tcPr>
            <w:tcW w:w="1401" w:type="dxa"/>
            <w:vAlign w:val="center"/>
          </w:tcPr>
          <w:p>
            <w:pPr>
              <w:jc w:val="center"/>
              <w:rPr>
                <w:rFonts w:ascii="Times New Roman" w:hAnsi="Times New Roman"/>
                <w:sz w:val="20"/>
                <w:szCs w:val="20"/>
              </w:rPr>
            </w:pPr>
            <w:r>
              <w:rPr>
                <w:rFonts w:ascii="Times New Roman" w:hAnsi="Times New Roman"/>
                <w:sz w:val="20"/>
              </w:rPr>
              <w:t>2021</w:t>
            </w:r>
          </w:p>
        </w:tc>
        <w:tc>
          <w:tcPr>
            <w:tcW w:w="2914" w:type="dxa"/>
            <w:vAlign w:val="center"/>
          </w:tcPr>
          <w:p>
            <w:pPr>
              <w:jc w:val="center"/>
              <w:rPr>
                <w:rFonts w:ascii="Times New Roman" w:hAnsi="Times New Roman"/>
                <w:sz w:val="20"/>
                <w:szCs w:val="20"/>
              </w:rPr>
            </w:pPr>
            <w:r>
              <w:rPr>
                <w:rFonts w:ascii="Times New Roman" w:hAnsi="Times New Roman"/>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ascii="Times New Roman" w:hAnsi="Times New Roman"/>
                <w:sz w:val="20"/>
                <w:szCs w:val="20"/>
              </w:rPr>
            </w:pPr>
            <w:r>
              <w:rPr>
                <w:rFonts w:ascii="Times New Roman" w:hAnsi="Times New Roman"/>
                <w:sz w:val="20"/>
              </w:rPr>
              <w:t>上海一汽奔腾汽车销售服务有限公司</w:t>
            </w:r>
          </w:p>
        </w:tc>
        <w:tc>
          <w:tcPr>
            <w:tcW w:w="1401" w:type="dxa"/>
            <w:vAlign w:val="center"/>
          </w:tcPr>
          <w:p>
            <w:pPr>
              <w:jc w:val="center"/>
              <w:rPr>
                <w:rFonts w:ascii="Times New Roman" w:hAnsi="Times New Roman"/>
                <w:sz w:val="20"/>
                <w:szCs w:val="20"/>
              </w:rPr>
            </w:pPr>
            <w:r>
              <w:rPr>
                <w:rFonts w:ascii="Times New Roman" w:hAnsi="Times New Roman"/>
                <w:sz w:val="20"/>
              </w:rPr>
              <w:t>2021</w:t>
            </w:r>
          </w:p>
        </w:tc>
        <w:tc>
          <w:tcPr>
            <w:tcW w:w="2914" w:type="dxa"/>
            <w:vAlign w:val="center"/>
          </w:tcPr>
          <w:p>
            <w:pPr>
              <w:jc w:val="center"/>
              <w:rPr>
                <w:rFonts w:ascii="Times New Roman" w:hAnsi="Times New Roman"/>
                <w:sz w:val="20"/>
                <w:szCs w:val="20"/>
              </w:rPr>
            </w:pPr>
            <w:r>
              <w:rPr>
                <w:rFonts w:ascii="Times New Roman" w:hAnsi="Times New Roman"/>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rFonts w:ascii="Times New Roman" w:hAnsi="Times New Roman"/>
                <w:sz w:val="20"/>
                <w:szCs w:val="20"/>
              </w:rPr>
            </w:pPr>
            <w:r>
              <w:rPr>
                <w:rFonts w:ascii="Times New Roman" w:hAnsi="Times New Roman"/>
                <w:sz w:val="20"/>
              </w:rPr>
              <w:t>腾讯众创空间（上海）园区</w:t>
            </w:r>
          </w:p>
        </w:tc>
        <w:tc>
          <w:tcPr>
            <w:tcW w:w="1401" w:type="dxa"/>
            <w:vAlign w:val="center"/>
          </w:tcPr>
          <w:p>
            <w:pPr>
              <w:jc w:val="center"/>
              <w:rPr>
                <w:rFonts w:ascii="Times New Roman" w:hAnsi="Times New Roman"/>
                <w:sz w:val="20"/>
                <w:szCs w:val="20"/>
              </w:rPr>
            </w:pPr>
            <w:r>
              <w:rPr>
                <w:rFonts w:ascii="Times New Roman" w:hAnsi="Times New Roman"/>
                <w:sz w:val="20"/>
              </w:rPr>
              <w:t>2016</w:t>
            </w:r>
          </w:p>
        </w:tc>
        <w:tc>
          <w:tcPr>
            <w:tcW w:w="2914" w:type="dxa"/>
            <w:vAlign w:val="center"/>
          </w:tcPr>
          <w:p>
            <w:pPr>
              <w:jc w:val="center"/>
              <w:rPr>
                <w:rFonts w:ascii="Times New Roman" w:hAnsi="Times New Roman"/>
                <w:sz w:val="20"/>
                <w:szCs w:val="20"/>
              </w:rPr>
            </w:pPr>
            <w:r>
              <w:rPr>
                <w:rFonts w:ascii="Times New Roman" w:hAnsi="Times New Roman"/>
                <w:sz w:val="20"/>
              </w:rPr>
              <w:t>60</w:t>
            </w:r>
          </w:p>
        </w:tc>
      </w:tr>
    </w:tbl>
    <w:p>
      <w:pPr>
        <w:rPr>
          <w:rFonts w:ascii="Times New Roman" w:hAnsi="Times New Roman"/>
        </w:rPr>
      </w:pPr>
    </w:p>
    <w:p>
      <w:pPr>
        <w:pStyle w:val="3"/>
        <w:pageBreakBefore/>
        <w:spacing w:after="120" w:line="415" w:lineRule="auto"/>
        <w:jc w:val="left"/>
        <w:rPr>
          <w:rFonts w:ascii="Times New Roman" w:hAnsi="Times New Roman"/>
          <w:b w:val="0"/>
          <w:bCs w:val="0"/>
          <w:sz w:val="28"/>
          <w:szCs w:val="28"/>
        </w:rPr>
      </w:pPr>
      <w:bookmarkStart w:id="89" w:name="_Toc159705232"/>
      <w:r>
        <w:rPr>
          <w:rFonts w:ascii="Times New Roman" w:hAnsi="Times New Roman"/>
          <w:b w:val="0"/>
          <w:bCs w:val="0"/>
          <w:sz w:val="28"/>
          <w:szCs w:val="28"/>
        </w:rPr>
        <w:t>6.质量保障</w:t>
      </w:r>
      <w:bookmarkEnd w:id="89"/>
      <w:r>
        <w:rPr>
          <w:rFonts w:ascii="Times New Roman" w:hAnsi="Times New Roman"/>
          <w:b w:val="0"/>
          <w:bCs w:val="0"/>
          <w:sz w:val="28"/>
          <w:szCs w:val="28"/>
        </w:rPr>
        <w:t xml:space="preserve"> </w:t>
      </w:r>
    </w:p>
    <w:p>
      <w:pPr>
        <w:pStyle w:val="4"/>
        <w:rPr>
          <w:rFonts w:ascii="Times New Roman" w:hAnsi="Times New Roman" w:eastAsia="宋体"/>
          <w:b w:val="0"/>
          <w:bCs w:val="0"/>
          <w:sz w:val="24"/>
          <w:szCs w:val="24"/>
        </w:rPr>
      </w:pPr>
      <w:bookmarkStart w:id="90" w:name="_Toc159705233"/>
      <w:r>
        <w:rPr>
          <w:rFonts w:ascii="Times New Roman" w:hAnsi="Times New Roman" w:eastAsia="宋体"/>
          <w:b w:val="0"/>
          <w:bCs w:val="0"/>
          <w:sz w:val="24"/>
          <w:szCs w:val="24"/>
        </w:rPr>
        <w:t>6.1质量保障体系</w:t>
      </w:r>
      <w:bookmarkEnd w:id="90"/>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以社会经济发展需要、学校发展目标、学生发展为出发点，依据学校教学过程质量监控的总体要求建立了一套学校、学院、系（专业）联动的教学质量保障体系。构建了校、院、系三级教学管理体系，建立了一系列教学管理规章制度，以及完整、有序的教学运行管理机制，以保障教学工作的制度化、规范化。具体如图</w:t>
      </w:r>
      <w:r>
        <w:rPr>
          <w:rFonts w:ascii="Times New Roman" w:hAnsi="Times New Roman" w:cs="Times New Roman"/>
          <w:szCs w:val="28"/>
        </w:rPr>
        <w:t>4.1所示。</w:t>
      </w:r>
    </w:p>
    <w:p>
      <w:pPr>
        <w:spacing w:line="360" w:lineRule="auto"/>
        <w:jc w:val="center"/>
        <w:rPr>
          <w:rFonts w:ascii="Times New Roman" w:hAnsi="Times New Roman" w:cs="Times New Roman"/>
          <w:szCs w:val="28"/>
        </w:rPr>
      </w:pPr>
      <w:r>
        <w:rPr>
          <w:rFonts w:ascii="Times New Roman" w:hAnsi="Times New Roman"/>
        </w:rPr>
        <w:drawing>
          <wp:inline distT="0" distB="0" distL="0" distR="0">
            <wp:extent cx="5106035" cy="3043555"/>
            <wp:effectExtent l="0" t="0" r="0" b="4445"/>
            <wp:docPr id="1441481233" name="图片 144148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81233" name="图片 1441481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07920" cy="3044704"/>
                    </a:xfrm>
                    <a:prstGeom prst="rect">
                      <a:avLst/>
                    </a:prstGeom>
                    <a:noFill/>
                    <a:ln>
                      <a:noFill/>
                    </a:ln>
                  </pic:spPr>
                </pic:pic>
              </a:graphicData>
            </a:graphic>
          </wp:inline>
        </w:drawing>
      </w:r>
    </w:p>
    <w:p>
      <w:pPr>
        <w:pStyle w:val="36"/>
        <w:spacing w:before="156" w:after="156"/>
      </w:pPr>
      <w:r>
        <w:rPr>
          <w:rFonts w:hint="eastAsia"/>
        </w:rPr>
        <w:t>图1 教学</w:t>
      </w:r>
      <w:r>
        <w:t>环节质量</w:t>
      </w:r>
      <w:r>
        <w:rPr>
          <w:rFonts w:hint="eastAsia"/>
        </w:rPr>
        <w:t>保障组织架构图</w:t>
      </w:r>
      <w:r>
        <w:t>体系</w:t>
      </w:r>
      <w:r>
        <w:rPr>
          <w:rFonts w:hint="eastAsia"/>
        </w:rPr>
        <w:t xml:space="preserve"> </w:t>
      </w:r>
    </w:p>
    <w:p>
      <w:pPr>
        <w:spacing w:line="360" w:lineRule="auto"/>
        <w:ind w:firstLine="480" w:firstLineChars="200"/>
        <w:jc w:val="center"/>
        <w:rPr>
          <w:rFonts w:ascii="Times New Roman" w:hAnsi="Times New Roman" w:cs="Times New Roman"/>
          <w:szCs w:val="28"/>
        </w:rPr>
      </w:pPr>
    </w:p>
    <w:p>
      <w:pPr>
        <w:spacing w:line="360" w:lineRule="auto"/>
        <w:ind w:firstLine="480" w:firstLineChars="200"/>
        <w:jc w:val="both"/>
        <w:rPr>
          <w:rFonts w:ascii="Times New Roman" w:hAnsi="Times New Roman"/>
          <w:szCs w:val="21"/>
        </w:rPr>
      </w:pPr>
      <w:r>
        <w:rPr>
          <w:rFonts w:hint="eastAsia" w:ascii="Times New Roman" w:hAnsi="Times New Roman"/>
          <w:szCs w:val="21"/>
        </w:rPr>
        <w:t>在学校层面，设立学校党委常委会、校长办公会、学校教学指导委员会，共同指导校教务处。教务处与校教学巡视组、各学院的院长、校教师教学发展中心联系紧密。教务处下设教学质量管理办公室，负责制定各项教学质量标准、日常教学质量管理、教学评估、专业认证等工作。学校聘任教学督导专家和学校教学专家库的专家，承担教学质量的监督检查与评价。</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在学院层面，在院长和教学副院长的领导下，由学院教授委员会、学院教学督导组和学院教学办公室三方来保障质量监控机制的落实。由主管教学副院长、教授委员会和教学督导组共同对系主任、教学副系主任的工作进行指导和监督。</w:t>
      </w:r>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在专业层面，在系主任、专业负责人和课程负责人的领导下，由任课老师执行每门课程的质量管理和分析。每位教师都必须参加课程组组织的关于专业培养方案、培养目标的学习，熟悉课程大纲和课程简介，制定课程的实施计划，定期讨论课程教学中出现的问题。</w:t>
      </w:r>
    </w:p>
    <w:p>
      <w:pPr>
        <w:pStyle w:val="4"/>
        <w:rPr>
          <w:rFonts w:ascii="Times New Roman" w:hAnsi="Times New Roman" w:eastAsia="宋体"/>
          <w:b w:val="0"/>
          <w:bCs w:val="0"/>
          <w:sz w:val="24"/>
          <w:szCs w:val="24"/>
        </w:rPr>
      </w:pPr>
      <w:bookmarkStart w:id="91" w:name="_Toc159705234"/>
      <w:r>
        <w:rPr>
          <w:rFonts w:ascii="Times New Roman" w:hAnsi="Times New Roman" w:eastAsia="宋体"/>
          <w:b w:val="0"/>
          <w:bCs w:val="0"/>
          <w:sz w:val="24"/>
          <w:szCs w:val="24"/>
        </w:rPr>
        <w:t>6.2</w:t>
      </w:r>
      <w:r>
        <w:rPr>
          <w:rFonts w:hint="eastAsia" w:ascii="Times New Roman" w:hAnsi="Times New Roman" w:eastAsia="宋体"/>
          <w:b w:val="0"/>
          <w:bCs w:val="0"/>
          <w:sz w:val="24"/>
          <w:szCs w:val="24"/>
        </w:rPr>
        <w:t>质量监控制度及实施办法</w:t>
      </w:r>
      <w:bookmarkEnd w:id="91"/>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为推进质量管理，学校制定了教学质量保障制度。具体包括：</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 xml:space="preserve">（1）校党委常委会、校长办公会每年召开本科教育专题会议，学院党政联席会每学期专题研究提升本科教育质量问题，学校职能部门每学期专题研究和完善保障本科教 育教学服务等制度。 </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 xml:space="preserve">（2）建立以学校为主导、学院为主体的教学管理体制，完善保证学院进行本科教 育质量提升的资源配置和政策保障机制；构建完善学院、教务处、学生工作处、后勤处 及相关职能部门的协调合作机制。 </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 xml:space="preserve">（3）建立健全校、院两级教学巡视、督导制度，制定了校领导、学院和职能部门负责人听课制度，实施同行评教和学生评教制度，完善教师教学鉴定制度，对教学目标 和师资队伍进行全方位的质量监控和信息反馈。 </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（4）制订和完善专业培养方案、教学大纲、课程设置、教学标准和规范、考试规定、教学事故认定办法等制度规范；加强对课堂教学、实践教学、考试试卷、毕业设计等教学环节的抽查力度。</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（5）完善学院本科教学工作考核指标体系及实施办法；制定学校课程评价指标和专业评价指标，完善本科教学过程的常态监控与质量评价考核体系。健全校内质量保障 制度，完善校院本科教学基本状态数据库，建立校级本科教学质量年度报告发布制度。</w:t>
      </w:r>
    </w:p>
    <w:p>
      <w:pPr>
        <w:pStyle w:val="4"/>
        <w:rPr>
          <w:rFonts w:ascii="Times New Roman" w:hAnsi="Times New Roman" w:eastAsia="宋体"/>
          <w:b w:val="0"/>
          <w:bCs w:val="0"/>
          <w:sz w:val="24"/>
          <w:szCs w:val="24"/>
        </w:rPr>
      </w:pPr>
      <w:bookmarkStart w:id="92" w:name="_Toc159705235"/>
      <w:r>
        <w:rPr>
          <w:rFonts w:ascii="Times New Roman" w:hAnsi="Times New Roman" w:eastAsia="宋体"/>
          <w:b w:val="0"/>
          <w:bCs w:val="0"/>
          <w:sz w:val="24"/>
          <w:szCs w:val="24"/>
        </w:rPr>
        <w:t>6.3</w:t>
      </w:r>
      <w:r>
        <w:rPr>
          <w:rFonts w:hint="eastAsia" w:ascii="Times New Roman" w:hAnsi="Times New Roman" w:eastAsia="宋体"/>
          <w:b w:val="0"/>
          <w:bCs w:val="0"/>
          <w:sz w:val="24"/>
          <w:szCs w:val="24"/>
        </w:rPr>
        <w:t>质量评估反馈及持续改进</w:t>
      </w:r>
      <w:bookmarkEnd w:id="92"/>
      <w:r>
        <w:rPr>
          <w:rFonts w:hint="eastAsia" w:ascii="Times New Roman" w:hAnsi="Times New Roman" w:eastAsia="宋体"/>
          <w:b w:val="0"/>
          <w:bCs w:val="0"/>
          <w:sz w:val="24"/>
          <w:szCs w:val="24"/>
        </w:rPr>
        <w:t xml:space="preserve"> </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w:t>
      </w:r>
      <w:r>
        <w:rPr>
          <w:rFonts w:ascii="Times New Roman" w:hAnsi="Times New Roman" w:cs="Times New Roman"/>
          <w:szCs w:val="28"/>
        </w:rPr>
        <w:t>1）内部质量监控机制</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本专业加强各主要教学环节的质量标准的实施力度。每学期都有校督导组、院系的领导听课记录、试卷抽查、试卷质量分析要求、考试管理、学生评教、教师教学法研究和讨论等活动，形成相关的记录和材料等，构成教师教学质量的评价制度。对于新进专业教师，进行试讲制，并实行新进教师由有经验的老教师进行指导，学期末进行考评。同时有学院团总支和学院联合，建立学生学习质量评价、毕业生质量跟踪制度、教学信息反馈制度等教学环节质量标准。作为实施教学全过程质量管理的标准：包括课堂教学评价，例如督导听课、领导听课、同行听课、学生评教等情况，试卷及教学资料检查情况、教师学生座谈会情况（每学期</w:t>
      </w:r>
      <w:r>
        <w:rPr>
          <w:rFonts w:ascii="Times New Roman" w:hAnsi="Times New Roman" w:cs="Times New Roman"/>
          <w:szCs w:val="28"/>
        </w:rPr>
        <w:t>1次）、教学质量月活动、学生学习与就业满意度调查等。</w:t>
      </w:r>
    </w:p>
    <w:p>
      <w:pPr>
        <w:spacing w:line="360" w:lineRule="auto"/>
        <w:ind w:firstLine="480" w:firstLineChars="200"/>
        <w:jc w:val="both"/>
        <w:rPr>
          <w:rFonts w:hint="eastAsia" w:ascii="Times New Roman" w:hAnsi="Times New Roman" w:cs="Times New Roman"/>
          <w:szCs w:val="28"/>
        </w:rPr>
      </w:pPr>
      <w:r>
        <w:rPr>
          <w:rFonts w:hint="eastAsia" w:ascii="Times New Roman" w:hAnsi="Times New Roman" w:cs="Times New Roman"/>
          <w:szCs w:val="28"/>
        </w:rPr>
        <w:t>根据教育部、上海市教委的相关规定，学校公开发布了上海工程技术大学本科教学质量报告，报告从六大部分分析了学校本科教学质量的基本现状和主要问题。根据市教委的相关要求，本专业建立了“专业质量报告制度”，开始定期发布专业质量报告。</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w:t>
      </w:r>
      <w:r>
        <w:rPr>
          <w:rFonts w:ascii="Times New Roman" w:hAnsi="Times New Roman" w:cs="Times New Roman"/>
          <w:szCs w:val="28"/>
        </w:rPr>
        <w:t>2）外部质量监控机制</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工商管理专业建立了毕业生跟踪反馈机制以及有高等教育系统以外有关各方参与的社会评价机制，定期收集反馈意见，据此评价专业办学质量和专业培养目标的达成情况。</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（3）持续改进</w:t>
      </w:r>
    </w:p>
    <w:p>
      <w:pPr>
        <w:spacing w:line="360" w:lineRule="auto"/>
        <w:ind w:firstLine="480" w:firstLineChars="200"/>
        <w:jc w:val="both"/>
        <w:rPr>
          <w:rFonts w:ascii="Times New Roman" w:hAnsi="Times New Roman"/>
          <w:szCs w:val="28"/>
        </w:rPr>
      </w:pPr>
      <w:r>
        <w:rPr>
          <w:rFonts w:hint="eastAsia" w:ascii="Times New Roman" w:hAnsi="Times New Roman"/>
          <w:szCs w:val="28"/>
        </w:rPr>
        <w:t>遵循系统科学原理，以提高教学质量为核心，建立了包括教学质量目标和标准系统、教学资源支持和保障系统、教学质量监控和管理系统及教学质量分析与反馈系统四部分组成的教学质量保障与持续改进体系。</w:t>
      </w:r>
    </w:p>
    <w:p>
      <w:pPr>
        <w:spacing w:line="360" w:lineRule="auto"/>
        <w:ind w:firstLine="480" w:firstLineChars="200"/>
        <w:jc w:val="both"/>
        <w:rPr>
          <w:rFonts w:ascii="Times New Roman" w:hAnsi="Times New Roman"/>
          <w:szCs w:val="28"/>
        </w:rPr>
      </w:pPr>
      <w:r>
        <w:rPr>
          <w:rFonts w:ascii="Times New Roman" w:hAnsi="Times New Roman"/>
          <w:szCs w:val="28"/>
        </w:rPr>
        <w:t>根据培养目标、毕业要求和课程目标达成评价结果，以及外部评价收集信息，有针对性地开展本专业的</w:t>
      </w:r>
      <w:r>
        <w:rPr>
          <w:rFonts w:hint="eastAsia" w:ascii="Times New Roman" w:hAnsi="Times New Roman"/>
          <w:szCs w:val="28"/>
        </w:rPr>
        <w:t>质量评估</w:t>
      </w:r>
      <w:r>
        <w:rPr>
          <w:rFonts w:ascii="Times New Roman" w:hAnsi="Times New Roman"/>
          <w:szCs w:val="28"/>
        </w:rPr>
        <w:t>持续改进工作。专业培养计划每年都会进行</w:t>
      </w:r>
      <w:r>
        <w:rPr>
          <w:rFonts w:hint="eastAsia" w:ascii="Times New Roman" w:hAnsi="Times New Roman"/>
          <w:szCs w:val="28"/>
        </w:rPr>
        <w:t>小幅</w:t>
      </w:r>
      <w:r>
        <w:rPr>
          <w:rFonts w:ascii="Times New Roman" w:hAnsi="Times New Roman"/>
          <w:szCs w:val="28"/>
        </w:rPr>
        <w:t>调整，每四年进行</w:t>
      </w:r>
      <w:r>
        <w:rPr>
          <w:rFonts w:hint="eastAsia" w:ascii="Times New Roman" w:hAnsi="Times New Roman"/>
          <w:szCs w:val="28"/>
        </w:rPr>
        <w:t>大幅</w:t>
      </w:r>
      <w:r>
        <w:rPr>
          <w:rFonts w:ascii="Times New Roman" w:hAnsi="Times New Roman"/>
          <w:szCs w:val="28"/>
        </w:rPr>
        <w:t>调整。建立了专业与学院联动的专业质量分析和反馈工作制度。</w:t>
      </w:r>
      <w:r>
        <w:rPr>
          <w:rFonts w:hint="eastAsia" w:ascii="Times New Roman" w:hAnsi="Times New Roman"/>
          <w:szCs w:val="28"/>
        </w:rPr>
        <w:t>根据学校制定的</w:t>
      </w:r>
      <w:r>
        <w:rPr>
          <w:rFonts w:ascii="Times New Roman" w:hAnsi="Times New Roman"/>
          <w:szCs w:val="28"/>
        </w:rPr>
        <w:t>《上海工程技术大学本科专业人才培养质量达成度评价实施办法（试行）》</w:t>
      </w:r>
      <w:r>
        <w:rPr>
          <w:rFonts w:hint="eastAsia" w:ascii="Times New Roman" w:hAnsi="Times New Roman"/>
          <w:szCs w:val="28"/>
        </w:rPr>
        <w:t>、《</w:t>
      </w:r>
      <w:r>
        <w:rPr>
          <w:rFonts w:ascii="Times New Roman" w:hAnsi="Times New Roman"/>
          <w:szCs w:val="28"/>
        </w:rPr>
        <w:t>上海工程技术大学社会需求与学生学习成效导向的本科专业动态调整实施办法</w:t>
      </w:r>
      <w:r>
        <w:rPr>
          <w:rFonts w:hint="eastAsia" w:ascii="Times New Roman" w:hAnsi="Times New Roman"/>
          <w:szCs w:val="28"/>
        </w:rPr>
        <w:t>》，梳理历年工商管理</w:t>
      </w:r>
      <w:r>
        <w:rPr>
          <w:rFonts w:ascii="Times New Roman" w:hAnsi="Times New Roman"/>
          <w:szCs w:val="28"/>
        </w:rPr>
        <w:t>专业教学质量年度报告</w:t>
      </w:r>
      <w:r>
        <w:rPr>
          <w:rFonts w:hint="eastAsia" w:ascii="Times New Roman" w:hAnsi="Times New Roman"/>
          <w:szCs w:val="28"/>
        </w:rPr>
        <w:t>，对标要求不断对师资队伍进行优化、提升教学质量，改善学生学习成效</w:t>
      </w:r>
      <w:r>
        <w:rPr>
          <w:rFonts w:ascii="Times New Roman" w:hAnsi="Times New Roman"/>
          <w:szCs w:val="28"/>
        </w:rPr>
        <w:t>。</w:t>
      </w:r>
    </w:p>
    <w:p>
      <w:pPr>
        <w:pStyle w:val="4"/>
        <w:rPr>
          <w:rFonts w:ascii="Times New Roman" w:hAnsi="Times New Roman" w:eastAsia="宋体"/>
          <w:b w:val="0"/>
          <w:bCs w:val="0"/>
          <w:sz w:val="24"/>
          <w:szCs w:val="24"/>
        </w:rPr>
      </w:pPr>
      <w:bookmarkStart w:id="93" w:name="_Toc159705236"/>
      <w:r>
        <w:rPr>
          <w:rFonts w:ascii="Times New Roman" w:hAnsi="Times New Roman" w:eastAsia="宋体"/>
          <w:b w:val="0"/>
          <w:bCs w:val="0"/>
          <w:sz w:val="24"/>
          <w:szCs w:val="24"/>
        </w:rPr>
        <w:t>6.4</w:t>
      </w:r>
      <w:r>
        <w:rPr>
          <w:rFonts w:hint="eastAsia" w:ascii="Times New Roman" w:hAnsi="Times New Roman" w:eastAsia="宋体"/>
          <w:b w:val="0"/>
          <w:bCs w:val="0"/>
          <w:sz w:val="24"/>
          <w:szCs w:val="24"/>
        </w:rPr>
        <w:t>在校生与毕业生满意度</w:t>
      </w:r>
      <w:bookmarkEnd w:id="93"/>
      <w:r>
        <w:rPr>
          <w:rFonts w:hint="eastAsia" w:ascii="Times New Roman" w:hAnsi="Times New Roman" w:eastAsia="宋体"/>
          <w:b w:val="0"/>
          <w:bCs w:val="0"/>
          <w:sz w:val="24"/>
          <w:szCs w:val="24"/>
        </w:rPr>
        <w:t xml:space="preserve"> </w:t>
      </w:r>
    </w:p>
    <w:p>
      <w:pPr>
        <w:spacing w:line="360" w:lineRule="auto"/>
        <w:ind w:firstLine="480" w:firstLineChars="200"/>
        <w:jc w:val="both"/>
        <w:rPr>
          <w:rFonts w:ascii="Times New Roman" w:hAnsi="Times New Roman"/>
        </w:rPr>
      </w:pPr>
      <w:r>
        <w:rPr>
          <w:rFonts w:ascii="Times New Roman" w:hAnsi="Times New Roman"/>
        </w:rPr>
        <w:t>对2019级（2023届）</w:t>
      </w:r>
      <w:r>
        <w:rPr>
          <w:rFonts w:hint="eastAsia" w:ascii="Times New Roman" w:hAnsi="Times New Roman"/>
        </w:rPr>
        <w:t>工商管理</w:t>
      </w:r>
      <w:r>
        <w:rPr>
          <w:rFonts w:ascii="Times New Roman" w:hAnsi="Times New Roman"/>
        </w:rPr>
        <w:t>专业毕业生开展了毕业要求达成度问卷调查，发放问卷238份，收回26份。</w:t>
      </w:r>
      <w:r>
        <w:rPr>
          <w:rFonts w:hint="eastAsia" w:ascii="Times New Roman" w:hAnsi="Times New Roman"/>
        </w:rPr>
        <w:t>调查结果显示，</w:t>
      </w:r>
      <w:r>
        <w:rPr>
          <w:rFonts w:ascii="Times New Roman" w:hAnsi="Times New Roman"/>
        </w:rPr>
        <w:t>2019级（2023届）</w:t>
      </w:r>
      <w:r>
        <w:rPr>
          <w:rFonts w:hint="eastAsia" w:ascii="Times New Roman" w:hAnsi="Times New Roman"/>
        </w:rPr>
        <w:t>工商管理</w:t>
      </w:r>
      <w:r>
        <w:rPr>
          <w:rFonts w:ascii="Times New Roman" w:hAnsi="Times New Roman"/>
        </w:rPr>
        <w:t>专业毕业生</w:t>
      </w:r>
      <w:r>
        <w:rPr>
          <w:rFonts w:hint="eastAsia" w:ascii="Times New Roman" w:hAnsi="Times New Roman"/>
        </w:rPr>
        <w:t>与本专业相关度为</w:t>
      </w:r>
      <w:r>
        <w:rPr>
          <w:rFonts w:ascii="Times New Roman" w:hAnsi="Times New Roman"/>
        </w:rPr>
        <w:t>69%</w:t>
      </w:r>
      <w:r>
        <w:rPr>
          <w:rFonts w:hint="eastAsia" w:ascii="Times New Roman" w:hAnsi="Times New Roman"/>
        </w:rPr>
        <w:t>，</w:t>
      </w:r>
      <w:r>
        <w:rPr>
          <w:rFonts w:ascii="Times New Roman" w:hAnsi="Times New Roman"/>
        </w:rPr>
        <w:t>80</w:t>
      </w:r>
      <w:r>
        <w:rPr>
          <w:rFonts w:hint="eastAsia" w:ascii="Times New Roman" w:hAnsi="Times New Roman"/>
        </w:rPr>
        <w:t>%毕业生对目前所从事的行业发展有较大信心，大多数毕业生能够学以致用，从事专业相关工作。其中，3</w:t>
      </w:r>
      <w:r>
        <w:rPr>
          <w:rFonts w:ascii="Times New Roman" w:hAnsi="Times New Roman"/>
        </w:rPr>
        <w:t>5%</w:t>
      </w:r>
      <w:r>
        <w:rPr>
          <w:rFonts w:hint="eastAsia" w:ascii="Times New Roman" w:hAnsi="Times New Roman"/>
        </w:rPr>
        <w:t>毕业生工作于私营企业，</w:t>
      </w:r>
      <w:r>
        <w:rPr>
          <w:rFonts w:ascii="Times New Roman" w:hAnsi="Times New Roman"/>
        </w:rPr>
        <w:t>11%</w:t>
      </w:r>
      <w:r>
        <w:rPr>
          <w:rFonts w:hint="eastAsia" w:ascii="Times New Roman" w:hAnsi="Times New Roman"/>
        </w:rPr>
        <w:t>毕业生工作于国有企业，8%毕业生工作于国家行政机关，1</w:t>
      </w:r>
      <w:r>
        <w:rPr>
          <w:rFonts w:ascii="Times New Roman" w:hAnsi="Times New Roman"/>
        </w:rPr>
        <w:t>5%毕业生工作</w:t>
      </w:r>
      <w:r>
        <w:rPr>
          <w:rFonts w:hint="eastAsia" w:ascii="Times New Roman" w:hAnsi="Times New Roman"/>
        </w:rPr>
        <w:t>于外企；主要从事“管理类”工作（</w:t>
      </w:r>
      <w:r>
        <w:rPr>
          <w:rFonts w:ascii="Times New Roman" w:hAnsi="Times New Roman"/>
        </w:rPr>
        <w:t>4</w:t>
      </w:r>
      <w:r>
        <w:rPr>
          <w:rFonts w:hint="eastAsia" w:ascii="Times New Roman" w:hAnsi="Times New Roman"/>
        </w:rPr>
        <w:t>%），“技术类”工作（3</w:t>
      </w:r>
      <w:r>
        <w:rPr>
          <w:rFonts w:ascii="Times New Roman" w:hAnsi="Times New Roman"/>
        </w:rPr>
        <w:t>8</w:t>
      </w:r>
      <w:r>
        <w:rPr>
          <w:rFonts w:hint="eastAsia" w:ascii="Times New Roman" w:hAnsi="Times New Roman"/>
        </w:rPr>
        <w:t>%），“事务类”工作（</w:t>
      </w:r>
      <w:r>
        <w:rPr>
          <w:rFonts w:ascii="Times New Roman" w:hAnsi="Times New Roman"/>
        </w:rPr>
        <w:t>19</w:t>
      </w:r>
      <w:r>
        <w:rPr>
          <w:rFonts w:hint="eastAsia" w:ascii="Times New Roman" w:hAnsi="Times New Roman"/>
        </w:rPr>
        <w:t>%），“营销类”工作（</w:t>
      </w:r>
      <w:r>
        <w:rPr>
          <w:rFonts w:ascii="Times New Roman" w:hAnsi="Times New Roman"/>
        </w:rPr>
        <w:t>15</w:t>
      </w:r>
      <w:r>
        <w:rPr>
          <w:rFonts w:hint="eastAsia" w:ascii="Times New Roman" w:hAnsi="Times New Roman"/>
        </w:rPr>
        <w:t>%）。本专业毕业生毕业半年后的月收入主要在</w:t>
      </w:r>
      <w:r>
        <w:rPr>
          <w:rFonts w:ascii="Times New Roman" w:hAnsi="Times New Roman"/>
        </w:rPr>
        <w:t>10000元以下（86%），其中6000元以下约41%；毕业五年左右月平均收入主要在6000元以上（77%）</w:t>
      </w:r>
      <w:r>
        <w:rPr>
          <w:rFonts w:hint="eastAsia" w:ascii="Times New Roman" w:hAnsi="Times New Roman"/>
        </w:rPr>
        <w:t>。总体上，</w:t>
      </w:r>
      <w:r>
        <w:rPr>
          <w:rFonts w:ascii="Times New Roman" w:hAnsi="Times New Roman"/>
        </w:rPr>
        <w:t>80%</w:t>
      </w:r>
      <w:r>
        <w:rPr>
          <w:rFonts w:hint="eastAsia" w:ascii="Times New Roman" w:hAnsi="Times New Roman"/>
        </w:rPr>
        <w:t>毕业生对毕业后的现状表示满意，</w:t>
      </w:r>
      <w:r>
        <w:rPr>
          <w:rFonts w:ascii="Times New Roman" w:hAnsi="Times New Roman"/>
        </w:rPr>
        <w:t>80%</w:t>
      </w:r>
      <w:r>
        <w:rPr>
          <w:rFonts w:hint="eastAsia" w:ascii="Times New Roman" w:hAnsi="Times New Roman"/>
        </w:rPr>
        <w:t>毕业生对行业发展充满了信心。</w:t>
      </w:r>
    </w:p>
    <w:p>
      <w:pPr>
        <w:jc w:val="center"/>
        <w:rPr>
          <w:rFonts w:ascii="Times New Roman" w:hAnsi="Times New Roman" w:cs="Times New Roman"/>
          <w:color w:val="FF0000"/>
          <w:sz w:val="21"/>
          <w:szCs w:val="21"/>
        </w:rPr>
      </w:pPr>
      <w:r>
        <w:rPr>
          <w:rFonts w:ascii="Times New Roman" w:hAnsi="Times New Roman"/>
        </w:rPr>
        <w:drawing>
          <wp:inline distT="0" distB="0" distL="0" distR="0">
            <wp:extent cx="4326255" cy="2026285"/>
            <wp:effectExtent l="0" t="0" r="0" b="0"/>
            <wp:docPr id="5048292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29266" name="图片 3"/>
                    <pic:cNvPicPr>
                      <a:picLocks noChangeAspect="1"/>
                    </pic:cNvPicPr>
                  </pic:nvPicPr>
                  <pic:blipFill>
                    <a:blip r:embed="rId14">
                      <a:extLst>
                        <a:ext uri="{28A0092B-C50C-407E-A947-70E740481C1C}">
                          <a14:useLocalDpi xmlns:a14="http://schemas.microsoft.com/office/drawing/2010/main" val="0"/>
                        </a:ext>
                      </a:extLst>
                    </a:blip>
                    <a:srcRect t="4337" b="13001"/>
                    <a:stretch>
                      <a:fillRect/>
                    </a:stretch>
                  </pic:blipFill>
                  <pic:spPr>
                    <a:xfrm>
                      <a:off x="0" y="0"/>
                      <a:ext cx="4330567" cy="2028608"/>
                    </a:xfrm>
                    <a:prstGeom prst="rect">
                      <a:avLst/>
                    </a:prstGeom>
                    <a:ln>
                      <a:noFill/>
                    </a:ln>
                  </pic:spPr>
                </pic:pic>
              </a:graphicData>
            </a:graphic>
          </wp:inline>
        </w:drawing>
      </w:r>
    </w:p>
    <w:p>
      <w:pPr>
        <w:pStyle w:val="36"/>
        <w:spacing w:before="156" w:after="156"/>
      </w:pPr>
      <w:r>
        <w:t>图</w:t>
      </w:r>
      <w:r>
        <w:rPr>
          <w:rFonts w:hint="eastAsia"/>
        </w:rPr>
        <w:t>2</w:t>
      </w:r>
      <w:r>
        <w:t xml:space="preserve"> 毕业生对现状的满意度</w:t>
      </w:r>
    </w:p>
    <w:p>
      <w:pPr>
        <w:jc w:val="center"/>
        <w:rPr>
          <w:rFonts w:hint="eastAsia" w:ascii="Times New Roman" w:hAnsi="Times New Roman" w:cs="Times New Roman"/>
          <w:color w:val="FF0000"/>
          <w:sz w:val="21"/>
          <w:szCs w:val="21"/>
        </w:rPr>
      </w:pPr>
      <w:r>
        <w:rPr>
          <w:rFonts w:ascii="Times New Roman" w:hAnsi="Times New Roman"/>
        </w:rPr>
        <w:drawing>
          <wp:inline distT="0" distB="0" distL="0" distR="0">
            <wp:extent cx="4419600" cy="2030095"/>
            <wp:effectExtent l="0" t="0" r="0" b="8255"/>
            <wp:docPr id="798803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03002" name="图片 2"/>
                    <pic:cNvPicPr>
                      <a:picLocks noChangeAspect="1"/>
                    </pic:cNvPicPr>
                  </pic:nvPicPr>
                  <pic:blipFill>
                    <a:blip r:embed="rId15">
                      <a:extLst>
                        <a:ext uri="{28A0092B-C50C-407E-A947-70E740481C1C}">
                          <a14:useLocalDpi xmlns:a14="http://schemas.microsoft.com/office/drawing/2010/main" val="0"/>
                        </a:ext>
                      </a:extLst>
                    </a:blip>
                    <a:srcRect t="5935" b="13005"/>
                    <a:stretch>
                      <a:fillRect/>
                    </a:stretch>
                  </pic:blipFill>
                  <pic:spPr>
                    <a:xfrm>
                      <a:off x="0" y="0"/>
                      <a:ext cx="4424627" cy="2032494"/>
                    </a:xfrm>
                    <a:prstGeom prst="rect">
                      <a:avLst/>
                    </a:prstGeom>
                    <a:ln>
                      <a:noFill/>
                    </a:ln>
                  </pic:spPr>
                </pic:pic>
              </a:graphicData>
            </a:graphic>
          </wp:inline>
        </w:drawing>
      </w:r>
    </w:p>
    <w:p>
      <w:pPr>
        <w:pStyle w:val="36"/>
        <w:spacing w:before="156" w:after="156"/>
      </w:pPr>
      <w:r>
        <w:t>图</w:t>
      </w:r>
      <w:r>
        <w:rPr>
          <w:rFonts w:hint="eastAsia"/>
        </w:rPr>
        <w:t>3</w:t>
      </w:r>
      <w:r>
        <w:t xml:space="preserve"> 毕业生对行业发展的信心</w:t>
      </w:r>
    </w:p>
    <w:p>
      <w:pPr>
        <w:pStyle w:val="3"/>
        <w:spacing w:after="120" w:line="415" w:lineRule="auto"/>
        <w:jc w:val="left"/>
        <w:rPr>
          <w:rFonts w:ascii="Times New Roman" w:hAnsi="Times New Roman"/>
          <w:b w:val="0"/>
          <w:bCs w:val="0"/>
          <w:sz w:val="28"/>
          <w:szCs w:val="28"/>
        </w:rPr>
      </w:pPr>
      <w:bookmarkStart w:id="94" w:name="_Toc159705237"/>
      <w:r>
        <w:rPr>
          <w:rFonts w:ascii="Times New Roman" w:hAnsi="Times New Roman"/>
          <w:b w:val="0"/>
          <w:bCs w:val="0"/>
          <w:sz w:val="28"/>
          <w:szCs w:val="28"/>
        </w:rPr>
        <w:t>7.</w:t>
      </w:r>
      <w:r>
        <w:rPr>
          <w:rFonts w:hint="eastAsia" w:ascii="Times New Roman" w:hAnsi="Times New Roman"/>
          <w:b w:val="0"/>
          <w:bCs w:val="0"/>
          <w:sz w:val="28"/>
          <w:szCs w:val="28"/>
        </w:rPr>
        <w:t>学生发展</w:t>
      </w:r>
      <w:bookmarkEnd w:id="94"/>
    </w:p>
    <w:p>
      <w:pPr>
        <w:pStyle w:val="4"/>
        <w:rPr>
          <w:rFonts w:ascii="Times New Roman" w:hAnsi="Times New Roman" w:eastAsia="宋体"/>
          <w:b w:val="0"/>
          <w:bCs w:val="0"/>
          <w:sz w:val="24"/>
          <w:szCs w:val="24"/>
        </w:rPr>
      </w:pPr>
      <w:bookmarkStart w:id="95" w:name="_TOC_250024"/>
      <w:bookmarkEnd w:id="95"/>
      <w:bookmarkStart w:id="96" w:name="_Toc159705238"/>
      <w:r>
        <w:rPr>
          <w:rFonts w:ascii="Times New Roman" w:hAnsi="Times New Roman" w:eastAsia="宋体"/>
          <w:b w:val="0"/>
          <w:bCs w:val="0"/>
          <w:sz w:val="24"/>
          <w:szCs w:val="24"/>
        </w:rPr>
        <w:t>7.1</w:t>
      </w:r>
      <w:r>
        <w:rPr>
          <w:rFonts w:hint="eastAsia" w:ascii="Times New Roman" w:hAnsi="Times New Roman" w:eastAsia="宋体"/>
          <w:b w:val="0"/>
          <w:bCs w:val="0"/>
          <w:sz w:val="24"/>
          <w:szCs w:val="24"/>
        </w:rPr>
        <w:t>本科在校生数量基本情况</w:t>
      </w:r>
      <w:bookmarkEnd w:id="96"/>
      <w:r>
        <w:rPr>
          <w:rFonts w:hint="eastAsia" w:ascii="Times New Roman" w:hAnsi="Times New Roman" w:eastAsia="宋体"/>
          <w:b w:val="0"/>
          <w:bCs w:val="0"/>
          <w:sz w:val="24"/>
          <w:szCs w:val="24"/>
        </w:rPr>
        <w:t xml:space="preserve"> </w:t>
      </w:r>
    </w:p>
    <w:p>
      <w:pPr>
        <w:spacing w:line="360" w:lineRule="auto"/>
        <w:ind w:firstLine="480" w:firstLineChars="200"/>
        <w:jc w:val="both"/>
        <w:rPr>
          <w:rFonts w:hint="eastAsia" w:ascii="Times New Roman" w:hAnsi="Times New Roman" w:cs="Times New Roman"/>
          <w:szCs w:val="28"/>
        </w:rPr>
      </w:pPr>
      <w:bookmarkStart w:id="97" w:name="_Hlk156300021"/>
      <w:r>
        <w:rPr>
          <w:rFonts w:hint="eastAsia" w:ascii="Times New Roman" w:hAnsi="Times New Roman" w:cs="Times New Roman"/>
          <w:szCs w:val="28"/>
        </w:rPr>
        <w:t>本科在校生总数</w:t>
      </w:r>
      <w:r>
        <w:rPr>
          <w:rFonts w:ascii="Times New Roman" w:hAnsi="Times New Roman" w:cs="Times New Roman"/>
          <w:szCs w:val="28"/>
        </w:rPr>
        <w:t>207</w:t>
      </w:r>
      <w:r>
        <w:rPr>
          <w:rFonts w:hint="eastAsia" w:ascii="Times New Roman" w:hAnsi="Times New Roman" w:cs="Times New Roman"/>
          <w:szCs w:val="28"/>
        </w:rPr>
        <w:t>人，其中留学生</w:t>
      </w:r>
      <w:r>
        <w:rPr>
          <w:rFonts w:ascii="Times New Roman" w:hAnsi="Times New Roman" w:cs="Times New Roman"/>
          <w:szCs w:val="28"/>
        </w:rPr>
        <w:t>10</w:t>
      </w:r>
      <w:r>
        <w:rPr>
          <w:rFonts w:hint="eastAsia" w:ascii="Times New Roman" w:hAnsi="Times New Roman" w:cs="Times New Roman"/>
          <w:szCs w:val="28"/>
        </w:rPr>
        <w:t>人，暂未有港澳台侨学生；二年级</w:t>
      </w:r>
      <w:r>
        <w:rPr>
          <w:rFonts w:ascii="Times New Roman" w:hAnsi="Times New Roman" w:cs="Times New Roman"/>
          <w:szCs w:val="28"/>
        </w:rPr>
        <w:t>69</w:t>
      </w:r>
      <w:r>
        <w:rPr>
          <w:rFonts w:hint="eastAsia" w:ascii="Times New Roman" w:hAnsi="Times New Roman" w:cs="Times New Roman"/>
          <w:szCs w:val="28"/>
        </w:rPr>
        <w:t>人，三年级</w:t>
      </w:r>
      <w:r>
        <w:rPr>
          <w:rFonts w:ascii="Times New Roman" w:hAnsi="Times New Roman" w:cs="Times New Roman"/>
          <w:szCs w:val="28"/>
        </w:rPr>
        <w:t>67</w:t>
      </w:r>
      <w:r>
        <w:rPr>
          <w:rFonts w:hint="eastAsia" w:ascii="Times New Roman" w:hAnsi="Times New Roman" w:cs="Times New Roman"/>
          <w:szCs w:val="28"/>
        </w:rPr>
        <w:t>人，四年级</w:t>
      </w:r>
      <w:r>
        <w:rPr>
          <w:rFonts w:ascii="Times New Roman" w:hAnsi="Times New Roman" w:cs="Times New Roman"/>
          <w:szCs w:val="28"/>
        </w:rPr>
        <w:t>71</w:t>
      </w:r>
      <w:r>
        <w:rPr>
          <w:rFonts w:hint="eastAsia" w:ascii="Times New Roman" w:hAnsi="Times New Roman" w:cs="Times New Roman"/>
          <w:szCs w:val="28"/>
        </w:rPr>
        <w:t>人。</w:t>
      </w:r>
      <w:bookmarkEnd w:id="97"/>
    </w:p>
    <w:p>
      <w:pPr>
        <w:pStyle w:val="36"/>
        <w:spacing w:before="156" w:after="156"/>
        <w:rPr>
          <w:rFonts w:hint="eastAsia"/>
        </w:rPr>
      </w:pPr>
      <w:r>
        <w:t>表</w:t>
      </w:r>
      <w:r>
        <w:rPr>
          <w:rFonts w:hint="eastAsia"/>
        </w:rPr>
        <w:t>2</w:t>
      </w:r>
      <w:r>
        <w:t xml:space="preserve">3 </w:t>
      </w:r>
      <w:r>
        <w:rPr>
          <w:rFonts w:hint="eastAsia"/>
        </w:rPr>
        <w:t>工商管理</w:t>
      </w:r>
      <w:r>
        <w:t>专业</w:t>
      </w:r>
      <w:r>
        <w:rPr>
          <w:rFonts w:hint="eastAsia"/>
        </w:rPr>
        <w:t>本科在校生数量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4148" w:type="dxa"/>
            <w:vAlign w:val="center"/>
          </w:tcPr>
          <w:p>
            <w:pPr>
              <w:jc w:val="center"/>
              <w:rPr>
                <w:rFonts w:ascii="Times New Roman" w:hAnsi="Times New Roman"/>
                <w:sz w:val="21"/>
                <w:szCs w:val="21"/>
              </w:rPr>
            </w:pPr>
            <w:r>
              <w:rPr>
                <w:rFonts w:hint="eastAsia" w:ascii="Times New Roman" w:hAnsi="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本科生数</w:t>
            </w:r>
          </w:p>
        </w:tc>
        <w:tc>
          <w:tcPr>
            <w:tcW w:w="4148" w:type="dxa"/>
            <w:vAlign w:val="center"/>
          </w:tcPr>
          <w:p>
            <w:pPr>
              <w:jc w:val="center"/>
              <w:rPr>
                <w:rFonts w:ascii="Times New Roman" w:hAnsi="Times New Roman"/>
                <w:sz w:val="21"/>
                <w:szCs w:val="21"/>
              </w:rPr>
            </w:pPr>
            <w:r>
              <w:rPr>
                <w:rFonts w:ascii="Times New Roman" w:hAnsi="Times New Roman"/>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其中：留学生</w:t>
            </w:r>
          </w:p>
        </w:tc>
        <w:tc>
          <w:tcPr>
            <w:tcW w:w="4148" w:type="dxa"/>
            <w:vAlign w:val="center"/>
          </w:tcPr>
          <w:p>
            <w:pPr>
              <w:jc w:val="center"/>
              <w:rPr>
                <w:rFonts w:ascii="Times New Roman" w:hAnsi="Times New Roman"/>
                <w:sz w:val="21"/>
                <w:szCs w:val="21"/>
              </w:rPr>
            </w:pPr>
            <w:r>
              <w:rPr>
                <w:rFonts w:ascii="Times New Roman" w:hAnsi="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港澳台侨学生</w:t>
            </w:r>
          </w:p>
        </w:tc>
        <w:tc>
          <w:tcPr>
            <w:tcW w:w="4148"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其中：一年级</w:t>
            </w:r>
          </w:p>
        </w:tc>
        <w:tc>
          <w:tcPr>
            <w:tcW w:w="4148" w:type="dxa"/>
            <w:vAlign w:val="center"/>
          </w:tcPr>
          <w:p>
            <w:pPr>
              <w:jc w:val="center"/>
              <w:rPr>
                <w:rFonts w:ascii="Times New Roman" w:hAnsi="Times New Roman"/>
                <w:sz w:val="21"/>
                <w:szCs w:val="21"/>
              </w:rPr>
            </w:pPr>
            <w:r>
              <w:rPr>
                <w:rFonts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二年级</w:t>
            </w:r>
          </w:p>
        </w:tc>
        <w:tc>
          <w:tcPr>
            <w:tcW w:w="4148" w:type="dxa"/>
            <w:vAlign w:val="center"/>
          </w:tcPr>
          <w:p>
            <w:pPr>
              <w:jc w:val="center"/>
              <w:rPr>
                <w:rFonts w:ascii="Times New Roman" w:hAnsi="Times New Roman"/>
                <w:sz w:val="21"/>
                <w:szCs w:val="21"/>
              </w:rPr>
            </w:pPr>
            <w:r>
              <w:rPr>
                <w:rFonts w:ascii="Times New Roman" w:hAnsi="Times New Roman"/>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三年级</w:t>
            </w:r>
          </w:p>
        </w:tc>
        <w:tc>
          <w:tcPr>
            <w:tcW w:w="4148" w:type="dxa"/>
            <w:vAlign w:val="center"/>
          </w:tcPr>
          <w:p>
            <w:pPr>
              <w:jc w:val="center"/>
              <w:rPr>
                <w:rFonts w:ascii="Times New Roman" w:hAnsi="Times New Roman"/>
                <w:sz w:val="21"/>
                <w:szCs w:val="21"/>
              </w:rPr>
            </w:pPr>
            <w:r>
              <w:rPr>
                <w:rFonts w:ascii="Times New Roman" w:hAnsi="Times New Roman"/>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四年级</w:t>
            </w:r>
          </w:p>
        </w:tc>
        <w:tc>
          <w:tcPr>
            <w:tcW w:w="4148" w:type="dxa"/>
            <w:vAlign w:val="center"/>
          </w:tcPr>
          <w:p>
            <w:pPr>
              <w:jc w:val="center"/>
              <w:rPr>
                <w:rFonts w:ascii="Times New Roman" w:hAnsi="Times New Roman"/>
                <w:sz w:val="21"/>
                <w:szCs w:val="21"/>
              </w:rPr>
            </w:pPr>
            <w:r>
              <w:rPr>
                <w:rFonts w:ascii="Times New Roman" w:hAnsi="Times New Roman"/>
                <w:sz w:val="21"/>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rFonts w:ascii="Times New Roman" w:hAnsi="Times New Roman"/>
                <w:sz w:val="21"/>
                <w:szCs w:val="21"/>
              </w:rPr>
            </w:pPr>
            <w:r>
              <w:rPr>
                <w:rFonts w:hint="eastAsia" w:ascii="Times New Roman" w:hAnsi="Times New Roman"/>
                <w:sz w:val="21"/>
                <w:szCs w:val="21"/>
              </w:rPr>
              <w:t>其他</w:t>
            </w:r>
          </w:p>
        </w:tc>
        <w:tc>
          <w:tcPr>
            <w:tcW w:w="4148" w:type="dxa"/>
            <w:vAlign w:val="center"/>
          </w:tcPr>
          <w:p>
            <w:pPr>
              <w:jc w:val="center"/>
              <w:rPr>
                <w:rFonts w:ascii="Times New Roman" w:hAnsi="Times New Roman"/>
                <w:sz w:val="21"/>
                <w:szCs w:val="21"/>
              </w:rPr>
            </w:pPr>
            <w:r>
              <w:rPr>
                <w:rFonts w:ascii="Times New Roman" w:hAnsi="Times New Roman"/>
                <w:sz w:val="21"/>
                <w:szCs w:val="21"/>
              </w:rPr>
              <w:t>0</w:t>
            </w:r>
          </w:p>
        </w:tc>
      </w:tr>
    </w:tbl>
    <w:p>
      <w:pPr>
        <w:rPr>
          <w:rFonts w:ascii="Times New Roman" w:hAnsi="Times New Roman"/>
        </w:rPr>
      </w:pPr>
    </w:p>
    <w:p>
      <w:pPr>
        <w:pStyle w:val="4"/>
        <w:rPr>
          <w:rFonts w:ascii="Times New Roman" w:hAnsi="Times New Roman" w:eastAsia="宋体"/>
          <w:b w:val="0"/>
          <w:bCs w:val="0"/>
          <w:sz w:val="24"/>
          <w:szCs w:val="24"/>
        </w:rPr>
      </w:pPr>
      <w:bookmarkStart w:id="98" w:name="_Toc159705239"/>
      <w:r>
        <w:rPr>
          <w:rFonts w:ascii="Times New Roman" w:hAnsi="Times New Roman" w:eastAsia="宋体"/>
          <w:b w:val="0"/>
          <w:bCs w:val="0"/>
          <w:sz w:val="24"/>
          <w:szCs w:val="24"/>
        </w:rPr>
        <w:t>7.2专业招生录取率和新生报到率</w:t>
      </w:r>
      <w:bookmarkEnd w:id="98"/>
    </w:p>
    <w:p>
      <w:pPr>
        <w:spacing w:line="360" w:lineRule="auto"/>
        <w:ind w:firstLine="480" w:firstLineChars="200"/>
        <w:jc w:val="both"/>
        <w:rPr>
          <w:rFonts w:ascii="Times New Roman" w:hAnsi="Times New Roman"/>
        </w:rPr>
      </w:pPr>
      <w:r>
        <w:rPr>
          <w:rFonts w:hint="eastAsia" w:ascii="Times New Roman" w:hAnsi="Times New Roman" w:cs="Times New Roman"/>
          <w:szCs w:val="28"/>
        </w:rPr>
        <w:t>2021、2022年工商管理大类招生和分流情况如表所示，2023年暂未进行专业分流。</w:t>
      </w:r>
    </w:p>
    <w:p>
      <w:pPr>
        <w:pStyle w:val="36"/>
        <w:spacing w:before="156" w:after="156"/>
      </w:pPr>
      <w:r>
        <w:t>表</w:t>
      </w:r>
      <w:r>
        <w:rPr>
          <w:rFonts w:hint="eastAsia"/>
        </w:rPr>
        <w:t>2</w:t>
      </w:r>
      <w:r>
        <w:t>4 专业</w:t>
      </w:r>
      <w:r>
        <w:rPr>
          <w:rFonts w:hint="eastAsia"/>
        </w:rPr>
        <w:t>招生录取和新生报到情况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年份</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 xml:space="preserve">专业大类录取总数 </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 xml:space="preserve">以第一志愿报考专业大类人数 </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 xml:space="preserve">专业大类一志愿率 </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专业大类实际报到数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专业大类报到率</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入校最终确定到本专业的人数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专业学生占专业类的比例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2021</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157</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192</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lang w:eastAsia="zh-Hans"/>
              </w:rPr>
              <w:t>122.29%</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157</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100%</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67</w:t>
            </w:r>
          </w:p>
        </w:tc>
        <w:tc>
          <w:tcPr>
            <w:tcW w:w="1037" w:type="dxa"/>
            <w:vAlign w:val="center"/>
          </w:tcPr>
          <w:p>
            <w:pPr>
              <w:tabs>
                <w:tab w:val="left" w:pos="381"/>
              </w:tabs>
              <w:jc w:val="center"/>
              <w:rPr>
                <w:rFonts w:ascii="Times New Roman" w:hAnsi="Times New Roman" w:cs="Times New Roman"/>
                <w:sz w:val="20"/>
                <w:szCs w:val="20"/>
              </w:rPr>
            </w:pPr>
            <w:r>
              <w:rPr>
                <w:rFonts w:ascii="Times New Roman" w:hAnsi="Times New Roman" w:cs="Times New Roman"/>
                <w:sz w:val="20"/>
                <w:szCs w:val="20"/>
              </w:rPr>
              <w:t>42</w:t>
            </w:r>
            <w:r>
              <w:rPr>
                <w:rFonts w:hint="eastAsia" w:ascii="Times New Roman" w:hAnsi="Times New Roman" w:cs="Times New Roman"/>
                <w:sz w:val="20"/>
                <w:szCs w:val="20"/>
              </w:rPr>
              <w:t>.</w:t>
            </w:r>
            <w:r>
              <w:rPr>
                <w:rFonts w:ascii="Times New Roman" w:hAnsi="Times New Roman" w:cs="Times New Roman"/>
                <w:sz w:val="20"/>
                <w:szCs w:val="20"/>
              </w:rPr>
              <w:t>68</w:t>
            </w:r>
            <w:r>
              <w:rPr>
                <w:rFonts w:hint="eastAsia"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2022</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152</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166</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109.21%</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150</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98.68%</w:t>
            </w:r>
          </w:p>
        </w:tc>
        <w:tc>
          <w:tcPr>
            <w:tcW w:w="1037"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6</w:t>
            </w:r>
            <w:r>
              <w:rPr>
                <w:rFonts w:ascii="Times New Roman" w:hAnsi="Times New Roman" w:cs="Times New Roman"/>
                <w:sz w:val="20"/>
                <w:szCs w:val="20"/>
              </w:rPr>
              <w:t>9</w:t>
            </w:r>
          </w:p>
        </w:tc>
        <w:tc>
          <w:tcPr>
            <w:tcW w:w="1037" w:type="dxa"/>
            <w:vAlign w:val="center"/>
          </w:tcPr>
          <w:p>
            <w:pPr>
              <w:jc w:val="center"/>
              <w:rPr>
                <w:rFonts w:ascii="Times New Roman" w:hAnsi="Times New Roman" w:cs="Times New Roman"/>
                <w:sz w:val="20"/>
                <w:szCs w:val="20"/>
              </w:rPr>
            </w:pPr>
            <w:r>
              <w:rPr>
                <w:rFonts w:ascii="Times New Roman" w:hAnsi="Times New Roman" w:cs="Times New Roman"/>
                <w:sz w:val="20"/>
                <w:szCs w:val="20"/>
              </w:rPr>
              <w:t>46</w:t>
            </w:r>
            <w:r>
              <w:rPr>
                <w:rFonts w:hint="eastAsia" w:ascii="Times New Roman" w:hAnsi="Times New Roman" w:cs="Times New Roman"/>
                <w:sz w:val="20"/>
                <w:szCs w:val="20"/>
              </w:rPr>
              <w:t>%</w:t>
            </w:r>
          </w:p>
        </w:tc>
      </w:tr>
    </w:tbl>
    <w:p>
      <w:pPr>
        <w:rPr>
          <w:rFonts w:ascii="Times New Roman" w:hAnsi="Times New Roman"/>
        </w:rPr>
      </w:pPr>
    </w:p>
    <w:p>
      <w:pPr>
        <w:pStyle w:val="4"/>
        <w:rPr>
          <w:rFonts w:ascii="Times New Roman" w:hAnsi="Times New Roman" w:eastAsia="宋体"/>
          <w:b w:val="0"/>
          <w:bCs w:val="0"/>
          <w:sz w:val="24"/>
          <w:szCs w:val="24"/>
        </w:rPr>
      </w:pPr>
      <w:bookmarkStart w:id="99" w:name="_Toc159705240"/>
      <w:r>
        <w:rPr>
          <w:rFonts w:ascii="Times New Roman" w:hAnsi="Times New Roman" w:eastAsia="宋体"/>
          <w:b w:val="0"/>
          <w:bCs w:val="0"/>
          <w:sz w:val="24"/>
          <w:szCs w:val="24"/>
        </w:rPr>
        <w:t>7.3毕业生毕业率</w:t>
      </w:r>
      <w:r>
        <w:rPr>
          <w:rFonts w:hint="eastAsia" w:ascii="Times New Roman" w:hAnsi="Times New Roman" w:eastAsia="宋体"/>
          <w:b w:val="0"/>
          <w:bCs w:val="0"/>
          <w:sz w:val="24"/>
          <w:szCs w:val="24"/>
        </w:rPr>
        <w:t>、</w:t>
      </w:r>
      <w:r>
        <w:rPr>
          <w:rFonts w:ascii="Times New Roman" w:hAnsi="Times New Roman" w:eastAsia="宋体"/>
          <w:b w:val="0"/>
          <w:bCs w:val="0"/>
          <w:sz w:val="24"/>
          <w:szCs w:val="24"/>
        </w:rPr>
        <w:t>学位授予率</w:t>
      </w:r>
      <w:r>
        <w:rPr>
          <w:rFonts w:hint="eastAsia" w:ascii="Times New Roman" w:hAnsi="Times New Roman" w:eastAsia="宋体"/>
          <w:b w:val="0"/>
          <w:bCs w:val="0"/>
          <w:sz w:val="24"/>
          <w:szCs w:val="24"/>
        </w:rPr>
        <w:t>与去向落实率</w:t>
      </w:r>
      <w:bookmarkEnd w:id="99"/>
    </w:p>
    <w:p>
      <w:pPr>
        <w:spacing w:line="360" w:lineRule="auto"/>
        <w:ind w:firstLine="480" w:firstLineChars="200"/>
        <w:jc w:val="both"/>
        <w:rPr>
          <w:rFonts w:ascii="Times New Roman" w:hAnsi="Times New Roman"/>
        </w:rPr>
      </w:pPr>
      <w:r>
        <w:rPr>
          <w:rFonts w:hint="eastAsia" w:ascii="Times New Roman" w:hAnsi="Times New Roman" w:cs="Times New Roman"/>
          <w:szCs w:val="28"/>
        </w:rPr>
        <w:t>工商管理专业应届毕业生数为6</w:t>
      </w:r>
      <w:r>
        <w:rPr>
          <w:rFonts w:ascii="Times New Roman" w:hAnsi="Times New Roman" w:cs="Times New Roman"/>
          <w:szCs w:val="28"/>
        </w:rPr>
        <w:t>1</w:t>
      </w:r>
      <w:r>
        <w:rPr>
          <w:rFonts w:hint="eastAsia" w:ascii="Times New Roman" w:hAnsi="Times New Roman" w:cs="Times New Roman"/>
          <w:szCs w:val="28"/>
        </w:rPr>
        <w:t>人，未按时毕业学生数为</w:t>
      </w:r>
      <w:r>
        <w:rPr>
          <w:rFonts w:ascii="Times New Roman" w:hAnsi="Times New Roman" w:cs="Times New Roman"/>
          <w:szCs w:val="28"/>
        </w:rPr>
        <w:t>1</w:t>
      </w:r>
      <w:r>
        <w:rPr>
          <w:rFonts w:hint="eastAsia" w:ascii="Times New Roman" w:hAnsi="Times New Roman" w:cs="Times New Roman"/>
          <w:szCs w:val="28"/>
        </w:rPr>
        <w:t>人，毕业率为</w:t>
      </w:r>
      <w:r>
        <w:rPr>
          <w:rFonts w:ascii="Times New Roman" w:hAnsi="Times New Roman" w:cs="Times New Roman"/>
          <w:szCs w:val="28"/>
        </w:rPr>
        <w:t>98.39</w:t>
      </w:r>
      <w:r>
        <w:rPr>
          <w:rFonts w:hint="eastAsia" w:ascii="Times New Roman" w:hAnsi="Times New Roman" w:cs="Times New Roman"/>
          <w:szCs w:val="28"/>
        </w:rPr>
        <w:t>%；专业学位授予数</w:t>
      </w:r>
      <w:r>
        <w:rPr>
          <w:rFonts w:ascii="Times New Roman" w:hAnsi="Times New Roman" w:cs="Times New Roman"/>
          <w:szCs w:val="28"/>
        </w:rPr>
        <w:t>58</w:t>
      </w:r>
      <w:r>
        <w:rPr>
          <w:rFonts w:hint="eastAsia" w:ascii="Times New Roman" w:hAnsi="Times New Roman" w:cs="Times New Roman"/>
          <w:szCs w:val="28"/>
        </w:rPr>
        <w:t>人，学位授予率为</w:t>
      </w:r>
      <w:r>
        <w:rPr>
          <w:rFonts w:ascii="Times New Roman" w:hAnsi="Times New Roman" w:cs="Times New Roman"/>
          <w:szCs w:val="28"/>
        </w:rPr>
        <w:t>95.08</w:t>
      </w:r>
      <w:r>
        <w:rPr>
          <w:rFonts w:hint="eastAsia" w:ascii="Times New Roman" w:hAnsi="Times New Roman" w:cs="Times New Roman"/>
          <w:szCs w:val="28"/>
        </w:rPr>
        <w:t>%；专业去向落实数为</w:t>
      </w:r>
      <w:r>
        <w:rPr>
          <w:rFonts w:ascii="Times New Roman" w:hAnsi="Times New Roman" w:cs="Times New Roman"/>
          <w:szCs w:val="28"/>
        </w:rPr>
        <w:t>61</w:t>
      </w:r>
      <w:r>
        <w:rPr>
          <w:rFonts w:hint="eastAsia" w:ascii="Times New Roman" w:hAnsi="Times New Roman" w:cs="Times New Roman"/>
          <w:szCs w:val="28"/>
        </w:rPr>
        <w:t>人，去向落实率为</w:t>
      </w:r>
      <w:r>
        <w:rPr>
          <w:rFonts w:ascii="Times New Roman" w:hAnsi="Times New Roman" w:cs="Times New Roman"/>
          <w:szCs w:val="28"/>
        </w:rPr>
        <w:t>100</w:t>
      </w:r>
      <w:r>
        <w:rPr>
          <w:rFonts w:hint="eastAsia" w:ascii="Times New Roman" w:hAnsi="Times New Roman" w:cs="Times New Roman"/>
          <w:szCs w:val="28"/>
        </w:rPr>
        <w:t>%。</w:t>
      </w:r>
    </w:p>
    <w:p>
      <w:pPr>
        <w:pStyle w:val="36"/>
        <w:spacing w:before="156" w:after="156"/>
      </w:pPr>
      <w:r>
        <w:t>表</w:t>
      </w:r>
      <w:r>
        <w:rPr>
          <w:rFonts w:hint="eastAsia"/>
        </w:rPr>
        <w:t>2</w:t>
      </w:r>
      <w:r>
        <w:t xml:space="preserve">5 </w:t>
      </w:r>
      <w:r>
        <w:rPr>
          <w:rFonts w:hint="eastAsia"/>
        </w:rPr>
        <w:t>工商管理</w:t>
      </w:r>
      <w:r>
        <w:t>专业</w:t>
      </w:r>
      <w:r>
        <w:rPr>
          <w:rFonts w:hint="eastAsia"/>
        </w:rPr>
        <w:t>毕业率、学位授予率与去向落实率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项目</w:t>
            </w:r>
          </w:p>
        </w:tc>
        <w:tc>
          <w:tcPr>
            <w:tcW w:w="1921" w:type="dxa"/>
            <w:vAlign w:val="center"/>
          </w:tcPr>
          <w:p>
            <w:pPr>
              <w:jc w:val="center"/>
              <w:rPr>
                <w:rFonts w:ascii="Times New Roman" w:hAnsi="Times New Roman"/>
                <w:sz w:val="21"/>
                <w:szCs w:val="21"/>
              </w:rPr>
            </w:pPr>
            <w:r>
              <w:rPr>
                <w:rFonts w:hint="eastAsia" w:ascii="Times New Roman" w:hAnsi="Times New Roman"/>
                <w:sz w:val="21"/>
                <w:szCs w:val="21"/>
              </w:rPr>
              <w:t>专业情况</w:t>
            </w:r>
          </w:p>
        </w:tc>
        <w:tc>
          <w:tcPr>
            <w:tcW w:w="3261" w:type="dxa"/>
            <w:vAlign w:val="center"/>
          </w:tcPr>
          <w:p>
            <w:pPr>
              <w:jc w:val="center"/>
              <w:rPr>
                <w:rFonts w:ascii="Times New Roman" w:hAnsi="Times New Roman"/>
                <w:sz w:val="21"/>
                <w:szCs w:val="21"/>
              </w:rPr>
            </w:pPr>
            <w:r>
              <w:rPr>
                <w:rFonts w:hint="eastAsia" w:ascii="Times New Roman" w:hAnsi="Times New Roman"/>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bookmarkStart w:id="100" w:name="OLE_LINK53"/>
            <w:r>
              <w:rPr>
                <w:rFonts w:hint="eastAsia" w:ascii="Times New Roman" w:hAnsi="Times New Roman"/>
                <w:sz w:val="21"/>
                <w:szCs w:val="21"/>
              </w:rPr>
              <w:t>应届毕业生数</w:t>
            </w:r>
            <w:bookmarkEnd w:id="100"/>
          </w:p>
        </w:tc>
        <w:tc>
          <w:tcPr>
            <w:tcW w:w="1921" w:type="dxa"/>
            <w:vAlign w:val="center"/>
          </w:tcPr>
          <w:p>
            <w:pPr>
              <w:jc w:val="center"/>
              <w:rPr>
                <w:rFonts w:ascii="Times New Roman" w:hAnsi="Times New Roman"/>
                <w:sz w:val="21"/>
                <w:szCs w:val="21"/>
              </w:rPr>
            </w:pPr>
            <w:r>
              <w:rPr>
                <w:rFonts w:ascii="Times New Roman" w:hAnsi="Times New Roman"/>
                <w:sz w:val="21"/>
                <w:szCs w:val="21"/>
              </w:rPr>
              <w:t>61</w:t>
            </w:r>
          </w:p>
        </w:tc>
        <w:tc>
          <w:tcPr>
            <w:tcW w:w="3261" w:type="dxa"/>
            <w:vAlign w:val="center"/>
          </w:tcPr>
          <w:p>
            <w:pPr>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应届生中未按时毕业数</w:t>
            </w:r>
          </w:p>
        </w:tc>
        <w:tc>
          <w:tcPr>
            <w:tcW w:w="1921" w:type="dxa"/>
            <w:vAlign w:val="center"/>
          </w:tcPr>
          <w:p>
            <w:pPr>
              <w:jc w:val="center"/>
              <w:rPr>
                <w:rFonts w:ascii="Times New Roman" w:hAnsi="Times New Roman"/>
                <w:sz w:val="21"/>
                <w:szCs w:val="21"/>
              </w:rPr>
            </w:pPr>
            <w:r>
              <w:rPr>
                <w:rFonts w:ascii="Times New Roman" w:hAnsi="Times New Roman"/>
                <w:sz w:val="21"/>
                <w:szCs w:val="21"/>
              </w:rPr>
              <w:t>1</w:t>
            </w:r>
            <w:bookmarkStart w:id="101" w:name="OLE_LINK54"/>
            <w:bookmarkEnd w:id="101"/>
          </w:p>
        </w:tc>
        <w:tc>
          <w:tcPr>
            <w:tcW w:w="3261" w:type="dxa"/>
            <w:vAlign w:val="center"/>
          </w:tcPr>
          <w:p>
            <w:pPr>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bookmarkStart w:id="102" w:name="OLE_LINK52"/>
            <w:r>
              <w:rPr>
                <w:rFonts w:hint="eastAsia" w:ascii="Times New Roman" w:hAnsi="Times New Roman"/>
                <w:sz w:val="21"/>
                <w:szCs w:val="21"/>
              </w:rPr>
              <w:t>毕业率（</w:t>
            </w:r>
            <w:r>
              <w:rPr>
                <w:rFonts w:ascii="Times New Roman" w:hAnsi="Times New Roman"/>
                <w:sz w:val="21"/>
                <w:szCs w:val="21"/>
              </w:rPr>
              <w:t>%</w:t>
            </w:r>
            <w:r>
              <w:rPr>
                <w:rFonts w:hint="eastAsia" w:ascii="Times New Roman" w:hAnsi="Times New Roman"/>
                <w:sz w:val="21"/>
                <w:szCs w:val="21"/>
              </w:rPr>
              <w:t>）</w:t>
            </w:r>
            <w:bookmarkEnd w:id="102"/>
            <w:r>
              <w:rPr>
                <w:rFonts w:hint="eastAsia" w:ascii="Times New Roman" w:hAnsi="Times New Roman"/>
                <w:sz w:val="21"/>
                <w:szCs w:val="21"/>
              </w:rPr>
              <w:t xml:space="preserve"> </w:t>
            </w:r>
          </w:p>
        </w:tc>
        <w:tc>
          <w:tcPr>
            <w:tcW w:w="1921" w:type="dxa"/>
            <w:vAlign w:val="center"/>
          </w:tcPr>
          <w:p>
            <w:pPr>
              <w:jc w:val="center"/>
              <w:rPr>
                <w:rFonts w:ascii="Times New Roman" w:hAnsi="Times New Roman"/>
                <w:sz w:val="21"/>
                <w:szCs w:val="21"/>
              </w:rPr>
            </w:pPr>
            <w:r>
              <w:rPr>
                <w:rFonts w:ascii="Times New Roman" w:hAnsi="Times New Roman"/>
                <w:sz w:val="21"/>
                <w:szCs w:val="21"/>
              </w:rPr>
              <w:t>98.39</w:t>
            </w:r>
            <w:bookmarkStart w:id="103" w:name="OLE_LINK51"/>
            <w:bookmarkEnd w:id="103"/>
          </w:p>
        </w:tc>
        <w:tc>
          <w:tcPr>
            <w:tcW w:w="3261" w:type="dxa"/>
            <w:vAlign w:val="center"/>
          </w:tcPr>
          <w:p>
            <w:pPr>
              <w:jc w:val="center"/>
              <w:rPr>
                <w:rFonts w:ascii="Times New Roman" w:hAnsi="Times New Roman"/>
                <w:sz w:val="21"/>
                <w:szCs w:val="21"/>
              </w:rPr>
            </w:pPr>
            <w:r>
              <w:rPr>
                <w:rFonts w:ascii="Times New Roman" w:hAnsi="Times New Roman"/>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学位授予数</w:t>
            </w:r>
          </w:p>
        </w:tc>
        <w:tc>
          <w:tcPr>
            <w:tcW w:w="1921" w:type="dxa"/>
            <w:vAlign w:val="center"/>
          </w:tcPr>
          <w:p>
            <w:pPr>
              <w:jc w:val="center"/>
              <w:rPr>
                <w:rFonts w:ascii="Times New Roman" w:hAnsi="Times New Roman"/>
                <w:sz w:val="21"/>
                <w:szCs w:val="21"/>
              </w:rPr>
            </w:pPr>
            <w:r>
              <w:rPr>
                <w:rFonts w:ascii="Times New Roman" w:hAnsi="Times New Roman"/>
                <w:sz w:val="21"/>
                <w:szCs w:val="21"/>
              </w:rPr>
              <w:t>58</w:t>
            </w:r>
          </w:p>
        </w:tc>
        <w:tc>
          <w:tcPr>
            <w:tcW w:w="3261" w:type="dxa"/>
            <w:vAlign w:val="center"/>
          </w:tcPr>
          <w:p>
            <w:pPr>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学位授予率（</w:t>
            </w:r>
            <w:r>
              <w:rPr>
                <w:rFonts w:ascii="Times New Roman" w:hAnsi="Times New Roman"/>
                <w:sz w:val="21"/>
                <w:szCs w:val="21"/>
              </w:rPr>
              <w:t>%</w:t>
            </w:r>
            <w:r>
              <w:rPr>
                <w:rFonts w:hint="eastAsia" w:ascii="Times New Roman" w:hAnsi="Times New Roman"/>
                <w:sz w:val="21"/>
                <w:szCs w:val="21"/>
              </w:rPr>
              <w:t xml:space="preserve">） </w:t>
            </w:r>
          </w:p>
        </w:tc>
        <w:tc>
          <w:tcPr>
            <w:tcW w:w="1921" w:type="dxa"/>
            <w:vAlign w:val="center"/>
          </w:tcPr>
          <w:p>
            <w:pPr>
              <w:jc w:val="center"/>
              <w:rPr>
                <w:rFonts w:ascii="Times New Roman" w:hAnsi="Times New Roman"/>
                <w:sz w:val="21"/>
                <w:szCs w:val="21"/>
              </w:rPr>
            </w:pPr>
            <w:r>
              <w:rPr>
                <w:rFonts w:ascii="Times New Roman" w:hAnsi="Times New Roman"/>
                <w:sz w:val="21"/>
                <w:szCs w:val="21"/>
              </w:rPr>
              <w:t>95.08</w:t>
            </w:r>
          </w:p>
        </w:tc>
        <w:tc>
          <w:tcPr>
            <w:tcW w:w="3261" w:type="dxa"/>
            <w:vAlign w:val="center"/>
          </w:tcPr>
          <w:p>
            <w:pPr>
              <w:jc w:val="center"/>
              <w:rPr>
                <w:rFonts w:ascii="Times New Roman" w:hAnsi="Times New Roman"/>
                <w:sz w:val="21"/>
                <w:szCs w:val="21"/>
              </w:rPr>
            </w:pPr>
            <w:r>
              <w:rPr>
                <w:rFonts w:ascii="Times New Roman" w:hAnsi="Times New Roman"/>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去向落实数</w:t>
            </w:r>
          </w:p>
        </w:tc>
        <w:tc>
          <w:tcPr>
            <w:tcW w:w="1921" w:type="dxa"/>
            <w:vAlign w:val="center"/>
          </w:tcPr>
          <w:p>
            <w:pPr>
              <w:jc w:val="center"/>
              <w:rPr>
                <w:rFonts w:ascii="Times New Roman" w:hAnsi="Times New Roman"/>
                <w:sz w:val="21"/>
                <w:szCs w:val="21"/>
              </w:rPr>
            </w:pPr>
            <w:r>
              <w:rPr>
                <w:rFonts w:ascii="Times New Roman" w:hAnsi="Times New Roman"/>
                <w:sz w:val="21"/>
                <w:szCs w:val="21"/>
              </w:rPr>
              <w:t>61</w:t>
            </w:r>
          </w:p>
        </w:tc>
        <w:tc>
          <w:tcPr>
            <w:tcW w:w="3261" w:type="dxa"/>
            <w:vAlign w:val="center"/>
          </w:tcPr>
          <w:p>
            <w:pPr>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ascii="Times New Roman" w:hAnsi="Times New Roman"/>
                <w:sz w:val="21"/>
                <w:szCs w:val="21"/>
              </w:rPr>
            </w:pPr>
            <w:r>
              <w:rPr>
                <w:rFonts w:hint="eastAsia" w:ascii="Times New Roman" w:hAnsi="Times New Roman"/>
                <w:sz w:val="21"/>
                <w:szCs w:val="21"/>
              </w:rPr>
              <w:t>去向落实率（</w:t>
            </w:r>
            <w:r>
              <w:rPr>
                <w:rFonts w:ascii="Times New Roman" w:hAnsi="Times New Roman"/>
                <w:sz w:val="21"/>
                <w:szCs w:val="21"/>
              </w:rPr>
              <w:t>%</w:t>
            </w:r>
            <w:r>
              <w:rPr>
                <w:rFonts w:hint="eastAsia" w:ascii="Times New Roman" w:hAnsi="Times New Roman"/>
                <w:sz w:val="21"/>
                <w:szCs w:val="21"/>
              </w:rPr>
              <w:t>）</w:t>
            </w:r>
          </w:p>
        </w:tc>
        <w:tc>
          <w:tcPr>
            <w:tcW w:w="1921" w:type="dxa"/>
            <w:vAlign w:val="center"/>
          </w:tcPr>
          <w:p>
            <w:pPr>
              <w:jc w:val="center"/>
              <w:rPr>
                <w:rFonts w:ascii="Times New Roman" w:hAnsi="Times New Roman"/>
                <w:sz w:val="21"/>
                <w:szCs w:val="21"/>
              </w:rPr>
            </w:pPr>
            <w:r>
              <w:rPr>
                <w:rFonts w:ascii="Times New Roman" w:hAnsi="Times New Roman"/>
                <w:sz w:val="21"/>
                <w:szCs w:val="21"/>
              </w:rPr>
              <w:t>100</w:t>
            </w:r>
          </w:p>
        </w:tc>
        <w:tc>
          <w:tcPr>
            <w:tcW w:w="3261" w:type="dxa"/>
            <w:vAlign w:val="center"/>
          </w:tcPr>
          <w:p>
            <w:pPr>
              <w:jc w:val="center"/>
              <w:rPr>
                <w:rFonts w:ascii="Times New Roman" w:hAnsi="Times New Roman"/>
                <w:sz w:val="21"/>
                <w:szCs w:val="21"/>
              </w:rPr>
            </w:pPr>
            <w:r>
              <w:rPr>
                <w:rFonts w:ascii="Times New Roman" w:hAnsi="Times New Roman"/>
                <w:sz w:val="21"/>
                <w:szCs w:val="21"/>
              </w:rPr>
              <w:t>95.87</w:t>
            </w:r>
          </w:p>
        </w:tc>
      </w:tr>
    </w:tbl>
    <w:p>
      <w:pPr>
        <w:rPr>
          <w:rFonts w:ascii="Times New Roman" w:hAnsi="Times New Roman"/>
        </w:rPr>
      </w:pPr>
    </w:p>
    <w:p>
      <w:pPr>
        <w:pStyle w:val="4"/>
        <w:rPr>
          <w:rFonts w:ascii="Times New Roman" w:hAnsi="Times New Roman" w:eastAsia="宋体"/>
          <w:b w:val="0"/>
          <w:bCs w:val="0"/>
          <w:sz w:val="24"/>
          <w:szCs w:val="24"/>
        </w:rPr>
      </w:pPr>
      <w:bookmarkStart w:id="104" w:name="_Toc159705241"/>
      <w:r>
        <w:rPr>
          <w:rFonts w:ascii="Times New Roman" w:hAnsi="Times New Roman" w:eastAsia="宋体"/>
          <w:b w:val="0"/>
          <w:bCs w:val="0"/>
          <w:sz w:val="24"/>
          <w:szCs w:val="24"/>
        </w:rPr>
        <w:t>7.4</w:t>
      </w:r>
      <w:r>
        <w:rPr>
          <w:rFonts w:hint="eastAsia" w:ascii="Times New Roman" w:hAnsi="Times New Roman" w:eastAsia="宋体"/>
          <w:b w:val="0"/>
          <w:bCs w:val="0"/>
          <w:sz w:val="24"/>
          <w:szCs w:val="24"/>
        </w:rPr>
        <w:t>学风建设情况</w:t>
      </w:r>
      <w:bookmarkEnd w:id="104"/>
    </w:p>
    <w:p>
      <w:pPr>
        <w:shd w:val="clear" w:color="auto" w:fill="FFFFFF"/>
        <w:spacing w:line="360" w:lineRule="auto"/>
        <w:ind w:firstLine="480" w:firstLineChars="200"/>
        <w:rPr>
          <w:rFonts w:ascii="Times New Roman" w:hAnsi="Times New Roman"/>
          <w:color w:val="333333"/>
        </w:rPr>
      </w:pPr>
      <w:r>
        <w:rPr>
          <w:rFonts w:ascii="Times New Roman" w:hAnsi="Times New Roman"/>
          <w:color w:val="333333"/>
        </w:rPr>
        <w:t>只有在良好的学风引导下，才可以更好地提高每个学生的学习和生活。根据学校建立的学风相关条例和规章制度，以及《管理学院学风建设纪律文件》，严格要求本专业学生考勤纪律，对学生日常规范管理，加强学风建设。为了让学生更加全面细致地了解学校关于旷课违纪和考场纪律等规定，大一至大四全体学生每人都签署《管理学院学风建设承诺书》。</w:t>
      </w:r>
    </w:p>
    <w:p>
      <w:pPr>
        <w:shd w:val="clear" w:color="auto" w:fill="FFFFFF"/>
        <w:spacing w:line="360" w:lineRule="auto"/>
        <w:ind w:firstLine="480" w:firstLineChars="200"/>
        <w:rPr>
          <w:rFonts w:ascii="Times New Roman" w:hAnsi="Times New Roman"/>
          <w:color w:val="333333"/>
        </w:rPr>
      </w:pPr>
      <w:r>
        <w:rPr>
          <w:rFonts w:ascii="Times New Roman" w:hAnsi="Times New Roman"/>
          <w:color w:val="333333"/>
        </w:rPr>
        <w:t>2022-2023学年，专业学生都能够遵守考勤纪律，无违纪情况，学生的出勤率都在95%以上，迟到率控制在3%以内。专业学生晚自习出勤率均在90%左右，学习氛围较好。同时，加强考风考纪的宣传和教育工作，严格考试纪律，学生考试期间能够遵守考场纪律和考场规范，考场氛围良好。专业教师和学生通过专业座谈会等形式，了解学生学习和生活情况，帮助解决学生学习和生活中存在的问题，工商管理专业的每一位学生都配备有相应的学业导师，学业导师对学生的学习进行悉心指导，通过面谈、微信、QQ等方式与学生交流，了解学生情况，学生的学业预警等情况较少。</w:t>
      </w:r>
    </w:p>
    <w:p>
      <w:pPr>
        <w:spacing w:line="360" w:lineRule="auto"/>
        <w:ind w:firstLine="480" w:firstLineChars="200"/>
        <w:jc w:val="both"/>
        <w:rPr>
          <w:rFonts w:ascii="Times New Roman" w:hAnsi="Times New Roman"/>
        </w:rPr>
      </w:pPr>
    </w:p>
    <w:p>
      <w:pPr>
        <w:pStyle w:val="3"/>
        <w:spacing w:after="120" w:line="415" w:lineRule="auto"/>
        <w:jc w:val="left"/>
        <w:rPr>
          <w:rFonts w:ascii="Times New Roman" w:hAnsi="Times New Roman"/>
          <w:sz w:val="28"/>
          <w:szCs w:val="28"/>
        </w:rPr>
      </w:pPr>
      <w:bookmarkStart w:id="105" w:name="_Toc159705242"/>
      <w:r>
        <w:rPr>
          <w:rFonts w:ascii="Times New Roman" w:hAnsi="Times New Roman"/>
          <w:sz w:val="28"/>
          <w:szCs w:val="28"/>
        </w:rPr>
        <w:t>8.</w:t>
      </w:r>
      <w:r>
        <w:rPr>
          <w:rFonts w:hint="eastAsia" w:ascii="Times New Roman" w:hAnsi="Times New Roman"/>
          <w:sz w:val="28"/>
          <w:szCs w:val="28"/>
        </w:rPr>
        <w:t>特色发展与案例</w:t>
      </w:r>
      <w:bookmarkEnd w:id="105"/>
    </w:p>
    <w:p>
      <w:pPr>
        <w:spacing w:line="360" w:lineRule="auto"/>
        <w:ind w:firstLine="480" w:firstLineChars="200"/>
        <w:jc w:val="both"/>
        <w:rPr>
          <w:rFonts w:ascii="Times New Roman" w:hAnsi="Times New Roman"/>
          <w:szCs w:val="28"/>
        </w:rPr>
      </w:pPr>
      <w:bookmarkStart w:id="106" w:name="_Toc365245279"/>
      <w:bookmarkStart w:id="107" w:name="_Toc365245864"/>
      <w:bookmarkStart w:id="108" w:name="_Toc435101944"/>
      <w:r>
        <w:rPr>
          <w:rFonts w:hint="eastAsia" w:ascii="Times New Roman" w:hAnsi="Times New Roman"/>
          <w:szCs w:val="28"/>
        </w:rPr>
        <w:t>总结专业教学工作中的特色、经验与案例。</w:t>
      </w:r>
    </w:p>
    <w:p>
      <w:pPr>
        <w:spacing w:line="360" w:lineRule="auto"/>
        <w:ind w:firstLine="480" w:firstLineChars="200"/>
        <w:jc w:val="both"/>
        <w:rPr>
          <w:rFonts w:ascii="Times New Roman" w:hAnsi="Times New Roman"/>
          <w:szCs w:val="28"/>
        </w:rPr>
      </w:pPr>
      <w:r>
        <w:rPr>
          <w:rFonts w:hint="eastAsia" w:ascii="Times New Roman" w:hAnsi="Times New Roman"/>
          <w:szCs w:val="28"/>
        </w:rPr>
        <w:t>工商管理专业始终坚持本校“依托现代产业、服务地区经济”的办学宗旨，瞄准上海产业发展的趋势、跟踪地区经济发展的需求，凭借产学合作教学模式，重点围绕培养具有“学习能力、研究能力和创新实践能力”的国际化应用型人才为办学核心，形成了以下鲜明的办学特色：</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1）围绕需求、合作办学、构筑产学研战略联盟，实行“一年三学期五学段，工学交替，顶岗工作”产教融合创新应用型人才培养模式</w:t>
      </w:r>
    </w:p>
    <w:p>
      <w:pPr>
        <w:spacing w:line="360" w:lineRule="auto"/>
        <w:ind w:firstLine="480" w:firstLineChars="200"/>
        <w:jc w:val="both"/>
        <w:rPr>
          <w:rFonts w:ascii="Times New Roman" w:hAnsi="Times New Roman"/>
          <w:szCs w:val="28"/>
        </w:rPr>
      </w:pPr>
      <w:r>
        <w:rPr>
          <w:rFonts w:hint="eastAsia" w:ascii="Times New Roman" w:hAnsi="Times New Roman"/>
          <w:szCs w:val="28"/>
        </w:rPr>
        <w:t>瞄准上海产业发展趋势，将专业建设与紧缺人才培养紧密结合，在“融入”上找方向，“瞄准”上寻需求，“对接”上下功夫，“培养”上创特色，已成为“航空经营管理”和“城市轨道交通运营管理”紧缺人才的培养基地，创新成果获国家教学成果二等奖。</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ab/>
      </w:r>
      <w:r>
        <w:rPr>
          <w:rFonts w:ascii="Times New Roman" w:hAnsi="Times New Roman"/>
          <w:szCs w:val="28"/>
        </w:rPr>
        <w:t>针对上海轨道交通网络建设的快速推进和长三角世界级机场群的打造对经营管理人才的迫切需求，先后分别与东方航空公司和上海航空公司合作设置“工商管理（航空经营管理）”，与上海申通地铁公司合作设置“工商管理（城市轨道交通运营管理）”专业方向，使专业建设和人才培养深深扎根于地方经济的土壤中。</w:t>
      </w:r>
    </w:p>
    <w:p>
      <w:pPr>
        <w:spacing w:line="360" w:lineRule="auto"/>
        <w:ind w:firstLine="480" w:firstLineChars="200"/>
        <w:jc w:val="center"/>
        <w:rPr>
          <w:rFonts w:ascii="Times New Roman" w:hAnsi="Times New Roman"/>
          <w:szCs w:val="28"/>
        </w:rPr>
      </w:pPr>
      <w:r>
        <w:rPr>
          <w:rFonts w:ascii="Times New Roman" w:hAnsi="Times New Roman"/>
          <w:szCs w:val="21"/>
        </w:rPr>
        <w:drawing>
          <wp:inline distT="0" distB="0" distL="0" distR="0">
            <wp:extent cx="4655820" cy="1799590"/>
            <wp:effectExtent l="0" t="0" r="0" b="0"/>
            <wp:docPr id="38" name="图片 38"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图标&#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55820" cy="1799590"/>
                    </a:xfrm>
                    <a:prstGeom prst="rect">
                      <a:avLst/>
                    </a:prstGeom>
                    <a:noFill/>
                  </pic:spPr>
                </pic:pic>
              </a:graphicData>
            </a:graphic>
          </wp:inline>
        </w:drawing>
      </w:r>
    </w:p>
    <w:p>
      <w:pPr>
        <w:pStyle w:val="36"/>
        <w:spacing w:before="156" w:after="156"/>
      </w:pPr>
      <w:r>
        <w:rPr>
          <w:rFonts w:hint="eastAsia"/>
        </w:rPr>
        <w:t>图</w:t>
      </w:r>
      <w:r>
        <w:t>4  “工商管理特色专业”产教融合创新应用型人才培养模式</w:t>
      </w:r>
    </w:p>
    <w:p>
      <w:pPr>
        <w:spacing w:line="360" w:lineRule="auto"/>
        <w:ind w:firstLine="480" w:firstLineChars="200"/>
        <w:jc w:val="both"/>
        <w:rPr>
          <w:rFonts w:ascii="Times New Roman" w:hAnsi="Times New Roman"/>
          <w:szCs w:val="28"/>
        </w:rPr>
      </w:pP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ab/>
      </w:r>
      <w:r>
        <w:rPr>
          <w:rFonts w:ascii="Times New Roman" w:hAnsi="Times New Roman"/>
          <w:szCs w:val="28"/>
        </w:rPr>
        <w:t>围绕需求构建专业人才培养模式。围绕交通运输系统工程和技术国产化构建专业人才培养模式，符合产业发展需求，适应了产业对人才的不同需求。</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2）以学科链、专业链对接产业链，架构科学的专业教学平台和教学培养体系</w:t>
      </w:r>
    </w:p>
    <w:p>
      <w:pPr>
        <w:spacing w:line="360" w:lineRule="auto"/>
        <w:ind w:firstLine="480" w:firstLineChars="200"/>
        <w:jc w:val="both"/>
        <w:rPr>
          <w:rFonts w:ascii="Times New Roman" w:hAnsi="Times New Roman"/>
          <w:szCs w:val="28"/>
        </w:rPr>
      </w:pPr>
      <w:r>
        <w:rPr>
          <w:rFonts w:hint="eastAsia" w:ascii="Times New Roman" w:hAnsi="Times New Roman"/>
          <w:szCs w:val="28"/>
        </w:rPr>
        <w:t>工商管理专业继续以对接现代产业为切入点，以工商管理核心课程体系为专业基础平台，以培养应用型专业管理人才为目标，以战略管理、现代市场营销和现代物流三大特色专业为主线，以特色实践平台、素质创新平台为载体，从而形成具有鲜明特色的工商管理专业教学培养体系。</w:t>
      </w:r>
    </w:p>
    <w:p>
      <w:pPr>
        <w:spacing w:line="360" w:lineRule="auto"/>
        <w:ind w:firstLine="480" w:firstLineChars="200"/>
        <w:jc w:val="center"/>
        <w:rPr>
          <w:rFonts w:ascii="Times New Roman" w:hAnsi="Times New Roman"/>
          <w:szCs w:val="28"/>
        </w:rPr>
      </w:pPr>
      <w:r>
        <w:rPr>
          <w:rFonts w:ascii="Times New Roman" w:hAnsi="Times New Roman"/>
        </w:rPr>
        <w:drawing>
          <wp:inline distT="0" distB="0" distL="0" distR="0">
            <wp:extent cx="5273040" cy="3169920"/>
            <wp:effectExtent l="0" t="0" r="0" b="0"/>
            <wp:docPr id="355731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31643"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3040" cy="3169920"/>
                    </a:xfrm>
                    <a:prstGeom prst="rect">
                      <a:avLst/>
                    </a:prstGeom>
                    <a:noFill/>
                    <a:ln>
                      <a:noFill/>
                    </a:ln>
                  </pic:spPr>
                </pic:pic>
              </a:graphicData>
            </a:graphic>
          </wp:inline>
        </w:drawing>
      </w:r>
    </w:p>
    <w:p>
      <w:pPr>
        <w:pStyle w:val="36"/>
        <w:spacing w:before="156" w:after="156"/>
      </w:pPr>
      <w:r>
        <w:rPr>
          <w:rFonts w:hint="eastAsia"/>
        </w:rPr>
        <w:t>图</w:t>
      </w:r>
      <w:r>
        <w:t>5  “工商管理特色专业”教学培养体系构建模式</w:t>
      </w:r>
    </w:p>
    <w:p>
      <w:pPr>
        <w:spacing w:line="360" w:lineRule="auto"/>
        <w:ind w:firstLine="480" w:firstLineChars="200"/>
        <w:jc w:val="both"/>
        <w:rPr>
          <w:rFonts w:ascii="Times New Roman" w:hAnsi="Times New Roman"/>
          <w:szCs w:val="28"/>
        </w:rPr>
      </w:pP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3）挖掘基础学科内涵，形成工商管理教学改革创新模式</w:t>
      </w:r>
    </w:p>
    <w:p>
      <w:pPr>
        <w:spacing w:line="360" w:lineRule="auto"/>
        <w:ind w:firstLine="480" w:firstLineChars="200"/>
        <w:jc w:val="both"/>
        <w:rPr>
          <w:rFonts w:ascii="Times New Roman" w:hAnsi="Times New Roman"/>
          <w:szCs w:val="28"/>
        </w:rPr>
      </w:pPr>
      <w:r>
        <w:rPr>
          <w:rFonts w:hint="eastAsia" w:ascii="Times New Roman" w:hAnsi="Times New Roman"/>
          <w:szCs w:val="28"/>
        </w:rPr>
        <w:t>挖掘基础学科内涵，以厚重的学科基础理论培养创新型工商管理人才，结合专业教学的内容，实施形式多样的素质教育，使学生的综合素质、创造能力和个性发展得到充分提高。在专业建设过程中，实施“以课程创新为核心的‘四个突破口’为特色内容”的教学改革创新模式：</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 xml:space="preserve"> 以主干课程的重点建设，作为提高教学质量的突破口；</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 xml:space="preserve"> 以系列教材的编写和出版，作为总结教学成果的突破口；</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 xml:space="preserve"> 以试行产学合作教育，作为推动教学实践的突破口；</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 xml:space="preserve"> 以科研项目的滚动实施，作为深化教学内容的突破口。</w:t>
      </w:r>
    </w:p>
    <w:p>
      <w:pPr>
        <w:spacing w:line="360" w:lineRule="auto"/>
        <w:ind w:firstLine="480" w:firstLineChars="200"/>
        <w:jc w:val="both"/>
        <w:rPr>
          <w:rFonts w:ascii="Times New Roman" w:hAnsi="Times New Roman"/>
          <w:szCs w:val="28"/>
        </w:rPr>
      </w:pPr>
      <w:r>
        <w:rPr>
          <w:rFonts w:hint="eastAsia" w:ascii="Times New Roman" w:hAnsi="Times New Roman"/>
          <w:szCs w:val="28"/>
        </w:rPr>
        <w:t>（</w:t>
      </w:r>
      <w:r>
        <w:rPr>
          <w:rFonts w:ascii="Times New Roman" w:hAnsi="Times New Roman"/>
          <w:szCs w:val="28"/>
        </w:rPr>
        <w:t>4）实施教学质量全过程、多层次的监控措施，形成一套规范性与创新性相结合的教学管理制度</w:t>
      </w:r>
    </w:p>
    <w:p>
      <w:pPr>
        <w:spacing w:line="360" w:lineRule="auto"/>
        <w:ind w:firstLine="480" w:firstLineChars="200"/>
        <w:jc w:val="both"/>
        <w:rPr>
          <w:rFonts w:ascii="Times New Roman" w:hAnsi="Times New Roman"/>
        </w:rPr>
      </w:pPr>
      <w:r>
        <w:rPr>
          <w:rFonts w:hint="eastAsia" w:ascii="Times New Roman" w:hAnsi="Times New Roman"/>
          <w:szCs w:val="28"/>
        </w:rPr>
        <w:t>本年度，虽然受新冠疫情影响，下半年的教学任务全部转为在线课堂，但本专业教师不断进行创新的教学管理制度建设，通过标准化管理，构建了完整的教学质量评价体系，规范了教学运作机制，构建了全过程、多层次的质量管理体系，建立了学校学科专家对教学的“学期前审查——学期中督导——学期后评估”的全过程监控制度和学校相关领导对教学管理的“学校——学院——系所”三级多层次监控制度。最终实现了教学管理的规范性与创新性的结合。</w:t>
      </w:r>
      <w:bookmarkEnd w:id="106"/>
      <w:bookmarkEnd w:id="107"/>
      <w:bookmarkEnd w:id="108"/>
    </w:p>
    <w:p>
      <w:pPr>
        <w:pStyle w:val="3"/>
        <w:spacing w:after="120" w:line="415" w:lineRule="auto"/>
        <w:jc w:val="left"/>
        <w:rPr>
          <w:rFonts w:ascii="Times New Roman" w:hAnsi="Times New Roman"/>
          <w:sz w:val="28"/>
          <w:szCs w:val="28"/>
        </w:rPr>
      </w:pPr>
      <w:bookmarkStart w:id="109" w:name="_Toc159705243"/>
      <w:r>
        <w:rPr>
          <w:rFonts w:ascii="Times New Roman" w:hAnsi="Times New Roman"/>
          <w:sz w:val="28"/>
          <w:szCs w:val="28"/>
        </w:rPr>
        <w:t>9.</w:t>
      </w:r>
      <w:r>
        <w:rPr>
          <w:rFonts w:hint="eastAsia" w:ascii="Times New Roman" w:hAnsi="Times New Roman"/>
          <w:sz w:val="28"/>
          <w:szCs w:val="28"/>
        </w:rPr>
        <w:t>问题与对策</w:t>
      </w:r>
      <w:bookmarkEnd w:id="109"/>
    </w:p>
    <w:p>
      <w:pPr>
        <w:pStyle w:val="4"/>
        <w:rPr>
          <w:rFonts w:ascii="Times New Roman" w:hAnsi="Times New Roman" w:eastAsia="宋体"/>
          <w:sz w:val="24"/>
          <w:szCs w:val="24"/>
        </w:rPr>
      </w:pPr>
      <w:bookmarkStart w:id="110" w:name="_Toc28636"/>
      <w:bookmarkStart w:id="111" w:name="_Toc22813"/>
      <w:bookmarkStart w:id="112" w:name="_Toc12350"/>
      <w:bookmarkStart w:id="113" w:name="_Toc159705244"/>
      <w:bookmarkStart w:id="114" w:name="_Toc27733"/>
      <w:bookmarkStart w:id="115" w:name="_Toc19221"/>
      <w:r>
        <w:rPr>
          <w:rFonts w:hint="eastAsia" w:ascii="Times New Roman" w:hAnsi="Times New Roman" w:eastAsia="宋体"/>
          <w:sz w:val="24"/>
          <w:szCs w:val="24"/>
        </w:rPr>
        <w:t>9.1存在的问题</w:t>
      </w:r>
      <w:bookmarkEnd w:id="110"/>
      <w:bookmarkEnd w:id="111"/>
      <w:bookmarkEnd w:id="112"/>
      <w:bookmarkEnd w:id="113"/>
      <w:bookmarkEnd w:id="114"/>
      <w:bookmarkEnd w:id="115"/>
    </w:p>
    <w:p>
      <w:pPr>
        <w:spacing w:line="360" w:lineRule="auto"/>
        <w:ind w:firstLine="480" w:firstLineChars="200"/>
        <w:jc w:val="both"/>
        <w:rPr>
          <w:rFonts w:ascii="Times New Roman" w:hAnsi="Times New Roman"/>
          <w:szCs w:val="28"/>
        </w:rPr>
      </w:pPr>
      <w:r>
        <w:rPr>
          <w:rFonts w:hint="eastAsia" w:ascii="Times New Roman" w:hAnsi="Times New Roman"/>
          <w:szCs w:val="28"/>
        </w:rPr>
        <w:t>（1）</w:t>
      </w:r>
      <w:r>
        <w:rPr>
          <w:rFonts w:ascii="Times New Roman" w:hAnsi="Times New Roman"/>
          <w:szCs w:val="28"/>
        </w:rPr>
        <w:t>学生专业基础理论学习有待进一步深化</w:t>
      </w:r>
    </w:p>
    <w:p>
      <w:pPr>
        <w:spacing w:line="360" w:lineRule="auto"/>
        <w:ind w:firstLine="480" w:firstLineChars="200"/>
        <w:jc w:val="both"/>
        <w:rPr>
          <w:rFonts w:ascii="Times New Roman" w:hAnsi="Times New Roman"/>
          <w:szCs w:val="28"/>
        </w:rPr>
      </w:pPr>
      <w:r>
        <w:rPr>
          <w:rFonts w:hint="eastAsia" w:ascii="Times New Roman" w:hAnsi="Times New Roman"/>
          <w:szCs w:val="28"/>
        </w:rPr>
        <w:t>我校工商管理专业在新的培养模式改革后，拓展了学生的实践教学内容和选修课内容，压缩学生专业理论课程的单位课程学时。该学生教学培养模式的最大优点是丰富学生的专业知识接触面，拓展学生专业以外的知识学习，为学生提高拓展自己兴趣爱好的平台，学生通过实践学习提高了学生实践动手能力，并能激发学生的探索创新思维方式的培养。</w:t>
      </w:r>
    </w:p>
    <w:p>
      <w:pPr>
        <w:spacing w:line="360" w:lineRule="auto"/>
        <w:ind w:firstLine="480" w:firstLineChars="200"/>
        <w:jc w:val="both"/>
        <w:rPr>
          <w:rFonts w:ascii="Times New Roman" w:hAnsi="Times New Roman"/>
          <w:szCs w:val="28"/>
        </w:rPr>
      </w:pPr>
      <w:r>
        <w:rPr>
          <w:rFonts w:hint="eastAsia" w:ascii="Times New Roman" w:hAnsi="Times New Roman"/>
          <w:szCs w:val="28"/>
        </w:rPr>
        <w:t>但是，该模式也存在自身不可避免的缺陷，即学生的知识接触面变广，但学生对专业基础理论的学习深度大大降低。本科教育虽重在启发大学的思维能力，但同时也要有更扎实的专业理论基础，才能培养出具有专业性的创新性人才。目前，我校工商管理专业落实全学分制及三学期（一学年）教学模式时间较短，存在的问题和不足难以避免。目前主要的问题是工商管理专业学生培养注重知识的拓展的同时，学生专业理论学习有待继续加强，该问题也是我校工商管理专业下一步教学模式深化创新改革的一个重要考虑方面。</w:t>
      </w:r>
    </w:p>
    <w:p>
      <w:pPr>
        <w:spacing w:line="360" w:lineRule="auto"/>
        <w:ind w:firstLine="480" w:firstLineChars="200"/>
        <w:jc w:val="both"/>
        <w:rPr>
          <w:rFonts w:ascii="Times New Roman" w:hAnsi="Times New Roman"/>
          <w:szCs w:val="28"/>
        </w:rPr>
      </w:pPr>
      <w:r>
        <w:rPr>
          <w:rFonts w:hint="eastAsia" w:ascii="Times New Roman" w:hAnsi="Times New Roman"/>
          <w:szCs w:val="28"/>
        </w:rPr>
        <w:t>（2）</w:t>
      </w:r>
      <w:r>
        <w:rPr>
          <w:rFonts w:ascii="Times New Roman" w:hAnsi="Times New Roman"/>
          <w:szCs w:val="28"/>
        </w:rPr>
        <w:t>学生创新创业能力培养有待进一步提高</w:t>
      </w:r>
    </w:p>
    <w:p>
      <w:pPr>
        <w:spacing w:line="360" w:lineRule="auto"/>
        <w:ind w:firstLine="480" w:firstLineChars="200"/>
        <w:jc w:val="both"/>
        <w:rPr>
          <w:rFonts w:ascii="Times New Roman" w:hAnsi="Times New Roman"/>
          <w:szCs w:val="28"/>
        </w:rPr>
      </w:pPr>
      <w:r>
        <w:rPr>
          <w:rFonts w:hint="eastAsia" w:ascii="Times New Roman" w:hAnsi="Times New Roman"/>
          <w:szCs w:val="28"/>
        </w:rPr>
        <w:t>学生的创新创业能力一方面来源于外因——教师的教授和引导，一方面更来源于内因——学生的自主性学习。学生的自主性学习要求学生能够更善于发现问题和提出问题，从学科领域或现实生活中发现和提出问题，学生通过独立自主地发现问题，进而进行验、操作、调查、收集与处理信息、表达与交流等自主学习活动，获得知识，培养能力，发展情感与态度，特别是发展探索精神与创新能力。自主式学习是一种积极的学习过程，主要指的是学生在科学课中自己探索问题的学习方式。本校工商管理专业从教师到学生，在自主性学习教学模式的实施中均存在理论性和实践性上的欠缺。比如，给学生布置课后讨论题的时候，题目出的过死，没有预留学生可以自己进行问题延伸或者设计的空间，教师的题目的设计和学生完成的质量需要提高，特别是学生撰写课程论文的规范性和研究方法上，掌握水平偏低。因此，要培养学生的创新创业能力，就要进一步提升教师对学生自主学习的教育和引导的能力和水平。</w:t>
      </w:r>
      <w:r>
        <w:rPr>
          <w:rFonts w:ascii="Times New Roman" w:hAnsi="Times New Roman"/>
          <w:szCs w:val="28"/>
        </w:rPr>
        <w:t xml:space="preserve"> </w:t>
      </w:r>
    </w:p>
    <w:p>
      <w:pPr>
        <w:spacing w:line="360" w:lineRule="auto"/>
        <w:ind w:firstLine="480" w:firstLineChars="200"/>
        <w:jc w:val="both"/>
        <w:rPr>
          <w:rFonts w:ascii="Times New Roman" w:hAnsi="Times New Roman"/>
          <w:szCs w:val="28"/>
        </w:rPr>
      </w:pPr>
      <w:r>
        <w:rPr>
          <w:rFonts w:hint="eastAsia" w:ascii="Times New Roman" w:hAnsi="Times New Roman"/>
          <w:szCs w:val="28"/>
        </w:rPr>
        <w:t>（3）</w:t>
      </w:r>
      <w:r>
        <w:rPr>
          <w:rFonts w:ascii="Times New Roman" w:hAnsi="Times New Roman"/>
          <w:szCs w:val="28"/>
        </w:rPr>
        <w:t>学生培养国际化程度有待加强</w:t>
      </w:r>
    </w:p>
    <w:p>
      <w:pPr>
        <w:spacing w:line="360" w:lineRule="auto"/>
        <w:ind w:firstLine="480" w:firstLineChars="200"/>
        <w:jc w:val="both"/>
        <w:rPr>
          <w:rFonts w:ascii="Times New Roman" w:hAnsi="Times New Roman"/>
          <w:szCs w:val="28"/>
        </w:rPr>
      </w:pPr>
      <w:r>
        <w:rPr>
          <w:rFonts w:hint="eastAsia" w:ascii="Times New Roman" w:hAnsi="Times New Roman"/>
          <w:szCs w:val="28"/>
        </w:rPr>
        <w:t>对于工商管理专业，致力于培养具有国际视野的现在综合管理人才的专业要求而言，提高学生的国际化水平十分重要，其直接影响到学生的综合素质和社会发展适应性。目前，中国高校在人才培养上都非常重视人才的国际化培养，尤其是</w:t>
      </w:r>
      <w:r>
        <w:rPr>
          <w:rFonts w:ascii="Times New Roman" w:hAnsi="Times New Roman"/>
          <w:szCs w:val="28"/>
        </w:rPr>
        <w:t>985和211等重点高校，通过多种途径来推动学生培养的国际化合作。在此大的趋势下，我校工商管理专业也积极开展国际合作教育，提高学生的国际化水平。但是，其国际化教育力度还不够，受众学生人数有待提高，合作方式有待丰富，合作质量有待提高。</w:t>
      </w:r>
    </w:p>
    <w:p>
      <w:pPr>
        <w:spacing w:line="360" w:lineRule="auto"/>
        <w:ind w:firstLine="480" w:firstLineChars="200"/>
        <w:jc w:val="both"/>
        <w:rPr>
          <w:rFonts w:ascii="Times New Roman" w:hAnsi="Times New Roman"/>
          <w:szCs w:val="28"/>
        </w:rPr>
      </w:pPr>
      <w:r>
        <w:rPr>
          <w:rFonts w:hint="eastAsia" w:ascii="Times New Roman" w:hAnsi="Times New Roman"/>
          <w:szCs w:val="28"/>
        </w:rPr>
        <w:t>（4）</w:t>
      </w:r>
      <w:r>
        <w:rPr>
          <w:rFonts w:ascii="Times New Roman" w:hAnsi="Times New Roman"/>
          <w:szCs w:val="28"/>
        </w:rPr>
        <w:t>教学和科研有待进一步协调发展</w:t>
      </w:r>
    </w:p>
    <w:p>
      <w:pPr>
        <w:spacing w:line="360" w:lineRule="auto"/>
        <w:ind w:firstLine="480" w:firstLineChars="200"/>
        <w:jc w:val="both"/>
        <w:rPr>
          <w:rFonts w:ascii="Times New Roman" w:hAnsi="Times New Roman"/>
          <w:szCs w:val="28"/>
        </w:rPr>
      </w:pPr>
      <w:r>
        <w:rPr>
          <w:rFonts w:hint="eastAsia" w:ascii="Times New Roman" w:hAnsi="Times New Roman"/>
          <w:szCs w:val="28"/>
        </w:rPr>
        <w:t>工商管理专业建设离不开科研和教学，专业建设离不开学科建设。高水平的科学研究促使教师处于科学技术研究的前沿，将科研的经历和创新的思维传授给学生，将科研成果转化为教学内容，从而带动教学改革和课程建设，提高教学水平和人才培养质量，是专业建设崭新的课题。利用科研成果更新教学内容，倡导科研成果进入课堂、进入教材、进入学生头脑，鼓励教师将最新科研成果融入教材，化为课程，开设反映学术前沿的选修课。支持教师结合承担的科研课题，指导本科生毕业设计（论文），使学生了解和掌握最新的前沿科学知识。教学过程中，大学生的思维活跃、接受新事物能力强，在问题导向性和探究性教学思路下，学生的新思维新思路也能够为教师科研提供思想的火花，甚至有些学生可以帮助教师解决科研上的一些问题，这都是教学为科研带来的好处。因此，工商管理专业下一步的发展过程中，急需创新机制来激发教学与科研的良性互动，加快专业建设，提升专业实力。</w:t>
      </w:r>
      <w:r>
        <w:rPr>
          <w:rFonts w:ascii="Times New Roman" w:hAnsi="Times New Roman"/>
          <w:szCs w:val="28"/>
        </w:rPr>
        <w:t xml:space="preserve"> </w:t>
      </w:r>
    </w:p>
    <w:p>
      <w:pPr>
        <w:pStyle w:val="4"/>
        <w:rPr>
          <w:rFonts w:ascii="Times New Roman" w:hAnsi="Times New Roman" w:eastAsia="宋体"/>
          <w:sz w:val="24"/>
          <w:szCs w:val="24"/>
        </w:rPr>
      </w:pPr>
      <w:bookmarkStart w:id="116" w:name="_Toc14999"/>
      <w:bookmarkStart w:id="117" w:name="_Toc31052"/>
      <w:bookmarkStart w:id="118" w:name="_Toc15979"/>
      <w:bookmarkStart w:id="119" w:name="_Toc20740"/>
      <w:bookmarkStart w:id="120" w:name="_Toc20160"/>
      <w:bookmarkStart w:id="121" w:name="_Toc159705245"/>
      <w:r>
        <w:rPr>
          <w:rFonts w:hint="eastAsia" w:ascii="Times New Roman" w:hAnsi="Times New Roman" w:eastAsia="宋体"/>
          <w:sz w:val="24"/>
          <w:szCs w:val="24"/>
        </w:rPr>
        <w:t>9.2改进</w:t>
      </w:r>
      <w:bookmarkEnd w:id="116"/>
      <w:bookmarkEnd w:id="117"/>
      <w:bookmarkEnd w:id="118"/>
      <w:bookmarkEnd w:id="119"/>
      <w:r>
        <w:rPr>
          <w:rFonts w:hint="eastAsia" w:ascii="Times New Roman" w:hAnsi="Times New Roman" w:eastAsia="宋体"/>
          <w:sz w:val="24"/>
          <w:szCs w:val="24"/>
        </w:rPr>
        <w:t>的对策</w:t>
      </w:r>
      <w:bookmarkEnd w:id="120"/>
      <w:bookmarkEnd w:id="121"/>
    </w:p>
    <w:p>
      <w:pPr>
        <w:spacing w:line="360" w:lineRule="auto"/>
        <w:ind w:firstLine="480" w:firstLineChars="200"/>
        <w:jc w:val="both"/>
        <w:rPr>
          <w:rFonts w:ascii="Times New Roman" w:hAnsi="Times New Roman"/>
          <w:szCs w:val="28"/>
        </w:rPr>
      </w:pPr>
      <w:r>
        <w:rPr>
          <w:rFonts w:hint="eastAsia" w:ascii="Times New Roman" w:hAnsi="Times New Roman"/>
          <w:szCs w:val="28"/>
        </w:rPr>
        <w:t>（1）</w:t>
      </w:r>
      <w:r>
        <w:rPr>
          <w:rFonts w:ascii="Times New Roman" w:hAnsi="Times New Roman"/>
          <w:szCs w:val="28"/>
        </w:rPr>
        <w:t>面向学生成长成功和社会未来需求目标，完善人才培养体系</w:t>
      </w:r>
    </w:p>
    <w:p>
      <w:pPr>
        <w:spacing w:line="360" w:lineRule="auto"/>
        <w:ind w:firstLine="480" w:firstLineChars="200"/>
        <w:jc w:val="both"/>
        <w:rPr>
          <w:rFonts w:ascii="Times New Roman" w:hAnsi="Times New Roman"/>
          <w:szCs w:val="28"/>
        </w:rPr>
      </w:pPr>
      <w:r>
        <w:rPr>
          <w:rFonts w:ascii="Times New Roman" w:hAnsi="Times New Roman"/>
          <w:szCs w:val="28"/>
        </w:rPr>
        <w:t>基于学生分类，构建课程体系。国家和社会对人才需求是多样性多层次的，学生本身也存在差异性，基于社会需求和学生职业目标进行分类培养是以人为本、因材施教的客观需要。本科生在通识教育的基础上，大二开始就要进行分类培养，可分为就业工作和读研深造两类；基于分类培养目标，构建相应课程体系及培养方式。如本科生要就业，就设置多些创业、实践课程，增强学生实操技能，提高就业竞争力；如果要读研，除了满足保研考研需要外，要采用导师制培养方案，强化研究能力的培养。</w:t>
      </w:r>
    </w:p>
    <w:p>
      <w:pPr>
        <w:spacing w:line="360" w:lineRule="auto"/>
        <w:ind w:firstLine="480" w:firstLineChars="200"/>
        <w:jc w:val="both"/>
        <w:rPr>
          <w:rFonts w:ascii="Times New Roman" w:hAnsi="Times New Roman"/>
          <w:szCs w:val="28"/>
        </w:rPr>
      </w:pPr>
      <w:r>
        <w:rPr>
          <w:rFonts w:ascii="Times New Roman" w:hAnsi="Times New Roman"/>
          <w:szCs w:val="28"/>
        </w:rPr>
        <w:t>加强过程控制，提高培养质量。在成果导教育理念下，人才培养需以学生的学习成果为教学管理改革驱动力。由于人才培养涉及教学各环节、各项辅助活动，因此要实现人才培养目标，必须要加强过程管理[3]。在教学管理中要高度重视精品课程建设、课堂教学、实践教学、考核评价、创新实践和第二课堂等教育教学环节；此外，根据人才培养特色需要，重点建设资源型企业绿色管理、互联网营销创新、旅游资源开发管理课程群，为特色人才培养提供保障。</w:t>
      </w:r>
    </w:p>
    <w:p>
      <w:pPr>
        <w:spacing w:line="360" w:lineRule="auto"/>
        <w:ind w:firstLine="480" w:firstLineChars="200"/>
        <w:jc w:val="both"/>
        <w:rPr>
          <w:rFonts w:ascii="Times New Roman" w:hAnsi="Times New Roman"/>
          <w:szCs w:val="28"/>
        </w:rPr>
      </w:pPr>
      <w:r>
        <w:rPr>
          <w:rFonts w:ascii="Times New Roman" w:hAnsi="Times New Roman"/>
          <w:szCs w:val="28"/>
        </w:rPr>
        <w:t>加强平台建设，提高培养层次。学生培养需要各种平台，根据该学科目前状况，在本科生培养方面，要加强产学研实践基地建设，加强挑战杯、三创赛、管理学年会等平台利用，通过学务指导、学术领航、校院科技论文报告会等活动，让学生充分参与一些科研项目、规划设计项目、策划咨询项目、创新创业竞赛。从而以平台为抓手，形成人才培养的良性循环，提高培养层次和培养效果。</w:t>
      </w:r>
    </w:p>
    <w:p>
      <w:pPr>
        <w:spacing w:line="360" w:lineRule="auto"/>
        <w:ind w:firstLine="480" w:firstLineChars="200"/>
        <w:jc w:val="both"/>
        <w:rPr>
          <w:rFonts w:ascii="Times New Roman" w:hAnsi="Times New Roman"/>
          <w:szCs w:val="28"/>
        </w:rPr>
      </w:pPr>
      <w:r>
        <w:rPr>
          <w:rFonts w:hint="eastAsia" w:ascii="Times New Roman" w:hAnsi="Times New Roman"/>
          <w:szCs w:val="28"/>
        </w:rPr>
        <w:t>（2）</w:t>
      </w:r>
      <w:r>
        <w:rPr>
          <w:rFonts w:ascii="Times New Roman" w:hAnsi="Times New Roman"/>
          <w:szCs w:val="28"/>
        </w:rPr>
        <w:t>改革资源配置模式，提升</w:t>
      </w:r>
      <w:r>
        <w:rPr>
          <w:rFonts w:hint="eastAsia" w:ascii="Times New Roman" w:hAnsi="Times New Roman"/>
          <w:szCs w:val="28"/>
        </w:rPr>
        <w:t>科研和教学</w:t>
      </w:r>
      <w:r>
        <w:rPr>
          <w:rFonts w:ascii="Times New Roman" w:hAnsi="Times New Roman"/>
          <w:szCs w:val="28"/>
        </w:rPr>
        <w:t>研究水平</w:t>
      </w:r>
    </w:p>
    <w:p>
      <w:pPr>
        <w:spacing w:line="360" w:lineRule="auto"/>
        <w:ind w:firstLine="480" w:firstLineChars="200"/>
        <w:jc w:val="both"/>
        <w:rPr>
          <w:rFonts w:ascii="Times New Roman" w:hAnsi="Times New Roman"/>
          <w:szCs w:val="28"/>
        </w:rPr>
      </w:pPr>
      <w:r>
        <w:rPr>
          <w:rFonts w:ascii="Times New Roman" w:hAnsi="Times New Roman"/>
          <w:szCs w:val="28"/>
        </w:rPr>
        <w:t>加强总体谋划，强化协同创新。目前国内外工商管理学科科学研究蓬勃发展，上海工程技术大学工商管理学科科学研究存在方向不明确和不集中现象，不利于学科的特色发展。学院要邀请工商管理领域的专家，结合本学科特色资源，做好学科科研的顶层设计，明确研究方向、研究领域，同时谋划具体的研究问题、研究路径，把握好科研过程及资源条件，将科研作为一项基本任务落实在教师职责中，使教师能明确个人研究方向和研究问题，做科研也能得到相关支持，科研成果对学科发展支撑作用也明显。</w:t>
      </w:r>
    </w:p>
    <w:p>
      <w:pPr>
        <w:spacing w:line="360" w:lineRule="auto"/>
        <w:ind w:firstLine="480" w:firstLineChars="200"/>
        <w:jc w:val="both"/>
        <w:rPr>
          <w:rFonts w:ascii="Times New Roman" w:hAnsi="Times New Roman"/>
          <w:szCs w:val="28"/>
        </w:rPr>
      </w:pPr>
      <w:r>
        <w:rPr>
          <w:rFonts w:ascii="Times New Roman" w:hAnsi="Times New Roman"/>
          <w:szCs w:val="28"/>
        </w:rPr>
        <w:t>整合内部资源，凝聚研究团队。科研需要团队协作，而 上海工程技术大学工商管理学科科研基本上是单打独斗，严重影响了科研成果。学院要在明确研究方向和研究领域基础上，组建若干个研究团队，并根据对外交流需要建立相应研究中心，并对研究中心进行规划化管理，从制度设计上保障研究中心的正常运行。研究中心和团队要定期开展学术活动，要有考核与奖惩，让教师们都有属于自己的团队和科研平台。</w:t>
      </w:r>
    </w:p>
    <w:p>
      <w:pPr>
        <w:spacing w:line="360" w:lineRule="auto"/>
        <w:ind w:firstLine="480" w:firstLineChars="200"/>
        <w:jc w:val="both"/>
        <w:rPr>
          <w:rFonts w:ascii="Times New Roman" w:hAnsi="Times New Roman"/>
          <w:szCs w:val="28"/>
        </w:rPr>
      </w:pPr>
      <w:r>
        <w:rPr>
          <w:rFonts w:ascii="Times New Roman" w:hAnsi="Times New Roman"/>
          <w:szCs w:val="28"/>
        </w:rPr>
        <w:t>加强合作研究，提升科研层次。科研本质是创新，创新需要合作，上海工程技术大学工商管理学科科研整体水平还需要进一步提升，更是需要与外部机构和个人合作。要利用各种途径与工商管理学科有优势的大学建立合作关系，并建立交流合作机制；也鼓励教师利用各种途径与该领域的知名学者建立合作关系，邀请专家过来做学术报告和学术交流，利用外部力量提高项目申报的成功率和研究成果的层次。</w:t>
      </w:r>
    </w:p>
    <w:p>
      <w:pPr>
        <w:spacing w:line="360" w:lineRule="auto"/>
        <w:ind w:firstLine="480" w:firstLineChars="200"/>
        <w:jc w:val="both"/>
        <w:rPr>
          <w:rFonts w:ascii="Times New Roman" w:hAnsi="Times New Roman"/>
          <w:szCs w:val="28"/>
        </w:rPr>
      </w:pPr>
      <w:r>
        <w:rPr>
          <w:rFonts w:hint="eastAsia" w:ascii="Times New Roman" w:hAnsi="Times New Roman"/>
          <w:szCs w:val="28"/>
        </w:rPr>
        <w:t>（3）</w:t>
      </w:r>
      <w:r>
        <w:rPr>
          <w:rFonts w:ascii="Times New Roman" w:hAnsi="Times New Roman"/>
          <w:szCs w:val="28"/>
        </w:rPr>
        <w:t>利用科教优势，积极开展社会服务</w:t>
      </w:r>
    </w:p>
    <w:p>
      <w:pPr>
        <w:spacing w:line="360" w:lineRule="auto"/>
        <w:ind w:firstLine="480" w:firstLineChars="200"/>
        <w:jc w:val="both"/>
        <w:rPr>
          <w:rFonts w:ascii="Times New Roman" w:hAnsi="Times New Roman"/>
          <w:szCs w:val="28"/>
        </w:rPr>
      </w:pPr>
      <w:r>
        <w:rPr>
          <w:rFonts w:hint="eastAsia" w:ascii="Times New Roman" w:hAnsi="Times New Roman"/>
          <w:szCs w:val="28"/>
        </w:rPr>
        <w:t>利用优势资源，根据社会需要提供相关服务是高校的基本职能。上海工程技术大学工商管理学科应围绕国家战略、行业需求和区域发展，积极为企业开展人才培训、科学研究、政策咨询等社会服务工作。在航空管理、轨道交通管理、数字经济企业开发与规划等方面形成服务于国家战略、行业需求和区域发展的思想库和专业服务品牌团队。</w:t>
      </w:r>
    </w:p>
    <w:p>
      <w:pPr>
        <w:spacing w:line="360" w:lineRule="auto"/>
        <w:ind w:firstLine="480" w:firstLineChars="200"/>
        <w:jc w:val="both"/>
        <w:rPr>
          <w:rFonts w:ascii="Times New Roman" w:hAnsi="Times New Roman"/>
          <w:szCs w:val="28"/>
        </w:rPr>
      </w:pPr>
      <w:r>
        <w:rPr>
          <w:rFonts w:hint="eastAsia" w:ascii="Times New Roman" w:hAnsi="Times New Roman"/>
          <w:szCs w:val="28"/>
        </w:rPr>
        <w:t>（4）</w:t>
      </w:r>
      <w:r>
        <w:rPr>
          <w:rFonts w:ascii="Times New Roman" w:hAnsi="Times New Roman"/>
          <w:szCs w:val="28"/>
        </w:rPr>
        <w:t>大力拓展合作渠道，建立全方位国际交流机制</w:t>
      </w:r>
    </w:p>
    <w:p>
      <w:pPr>
        <w:spacing w:line="360" w:lineRule="auto"/>
        <w:ind w:firstLine="480" w:firstLineChars="200"/>
        <w:jc w:val="both"/>
        <w:rPr>
          <w:rFonts w:ascii="Times New Roman" w:hAnsi="Times New Roman"/>
          <w:szCs w:val="28"/>
        </w:rPr>
      </w:pPr>
      <w:r>
        <w:rPr>
          <w:rFonts w:hint="eastAsia" w:ascii="Times New Roman" w:hAnsi="Times New Roman"/>
          <w:szCs w:val="28"/>
        </w:rPr>
        <w:t>推进国际学术交流的机制创新，提高科研水平。规范公费派送出国出境参加国际学术交流，鼓励自费参加国际学术交流；搭建国际学术讲坛，结合重点建设学科和国家级研究课题开展国际学术研究和交流活动；积极聘请国外知名高校的著名专家学者担任学校的名誉教授或客座教授；鼓励教师出国研修、学术访问、合作研究。</w:t>
      </w:r>
    </w:p>
    <w:p>
      <w:pPr>
        <w:rPr>
          <w:rFonts w:hint="eastAsia" w:ascii="Times New Roman" w:hAnsi="Times New Roman"/>
        </w:rPr>
      </w:pPr>
    </w:p>
    <w:sectPr>
      <w:footerReference r:id="rId9"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9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3269965"/>
      <w:docPartObj>
        <w:docPartGallery w:val="autotext"/>
      </w:docPartObj>
    </w:sdtPr>
    <w:sdtContent>
      <w:p>
        <w:pPr>
          <w:pStyle w:val="12"/>
          <w:spacing w:before="192"/>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254CA"/>
    <w:rsid w:val="000376E8"/>
    <w:rsid w:val="0007389E"/>
    <w:rsid w:val="000827A3"/>
    <w:rsid w:val="00092B09"/>
    <w:rsid w:val="000A4A8E"/>
    <w:rsid w:val="000A56B9"/>
    <w:rsid w:val="000A6EA2"/>
    <w:rsid w:val="000A6FC5"/>
    <w:rsid w:val="000B2965"/>
    <w:rsid w:val="000B45E3"/>
    <w:rsid w:val="000C5096"/>
    <w:rsid w:val="000D257F"/>
    <w:rsid w:val="000E0068"/>
    <w:rsid w:val="000E14E9"/>
    <w:rsid w:val="000E6FA3"/>
    <w:rsid w:val="000F3467"/>
    <w:rsid w:val="00100250"/>
    <w:rsid w:val="0010254A"/>
    <w:rsid w:val="00141505"/>
    <w:rsid w:val="001535F0"/>
    <w:rsid w:val="00156644"/>
    <w:rsid w:val="00164DCB"/>
    <w:rsid w:val="00165054"/>
    <w:rsid w:val="00176907"/>
    <w:rsid w:val="00191D7C"/>
    <w:rsid w:val="001944A0"/>
    <w:rsid w:val="001A5C55"/>
    <w:rsid w:val="001D2E93"/>
    <w:rsid w:val="001D66EF"/>
    <w:rsid w:val="001E54F2"/>
    <w:rsid w:val="001F1060"/>
    <w:rsid w:val="002005D2"/>
    <w:rsid w:val="002123E7"/>
    <w:rsid w:val="00225EF1"/>
    <w:rsid w:val="00242E0B"/>
    <w:rsid w:val="00263B5B"/>
    <w:rsid w:val="00280750"/>
    <w:rsid w:val="002814D0"/>
    <w:rsid w:val="00294F17"/>
    <w:rsid w:val="002A4CDF"/>
    <w:rsid w:val="002D2710"/>
    <w:rsid w:val="002E2BCF"/>
    <w:rsid w:val="002F4257"/>
    <w:rsid w:val="00337A06"/>
    <w:rsid w:val="0035521D"/>
    <w:rsid w:val="00356E3E"/>
    <w:rsid w:val="00360200"/>
    <w:rsid w:val="00373CE5"/>
    <w:rsid w:val="00376D14"/>
    <w:rsid w:val="0038334A"/>
    <w:rsid w:val="00383CB3"/>
    <w:rsid w:val="003A5DC9"/>
    <w:rsid w:val="003B45C6"/>
    <w:rsid w:val="003B5743"/>
    <w:rsid w:val="003B5821"/>
    <w:rsid w:val="003B601A"/>
    <w:rsid w:val="003D4237"/>
    <w:rsid w:val="003E3C59"/>
    <w:rsid w:val="003E684A"/>
    <w:rsid w:val="003F7065"/>
    <w:rsid w:val="00400D8F"/>
    <w:rsid w:val="0041461A"/>
    <w:rsid w:val="00427196"/>
    <w:rsid w:val="0043005D"/>
    <w:rsid w:val="00462E7E"/>
    <w:rsid w:val="00485557"/>
    <w:rsid w:val="0049281E"/>
    <w:rsid w:val="00492D16"/>
    <w:rsid w:val="004A29AB"/>
    <w:rsid w:val="004B6010"/>
    <w:rsid w:val="004C4E32"/>
    <w:rsid w:val="004C5078"/>
    <w:rsid w:val="004C7EB9"/>
    <w:rsid w:val="004D3393"/>
    <w:rsid w:val="004E18DE"/>
    <w:rsid w:val="004F0AF8"/>
    <w:rsid w:val="0054186C"/>
    <w:rsid w:val="0057619A"/>
    <w:rsid w:val="00582A0B"/>
    <w:rsid w:val="005B3ED1"/>
    <w:rsid w:val="005C4D52"/>
    <w:rsid w:val="005D2E7D"/>
    <w:rsid w:val="00605D42"/>
    <w:rsid w:val="00644138"/>
    <w:rsid w:val="00652619"/>
    <w:rsid w:val="00662EA1"/>
    <w:rsid w:val="00663B33"/>
    <w:rsid w:val="0067425A"/>
    <w:rsid w:val="006766F2"/>
    <w:rsid w:val="006F1096"/>
    <w:rsid w:val="0071499E"/>
    <w:rsid w:val="007165BA"/>
    <w:rsid w:val="00727DD0"/>
    <w:rsid w:val="00730C50"/>
    <w:rsid w:val="007549AC"/>
    <w:rsid w:val="00754C38"/>
    <w:rsid w:val="0075762C"/>
    <w:rsid w:val="0078195A"/>
    <w:rsid w:val="007849F0"/>
    <w:rsid w:val="00786814"/>
    <w:rsid w:val="00787F4B"/>
    <w:rsid w:val="0079395C"/>
    <w:rsid w:val="00796F89"/>
    <w:rsid w:val="007A5545"/>
    <w:rsid w:val="007B6B96"/>
    <w:rsid w:val="007C2C15"/>
    <w:rsid w:val="007C5E14"/>
    <w:rsid w:val="007E3FE5"/>
    <w:rsid w:val="007E49C2"/>
    <w:rsid w:val="007F2627"/>
    <w:rsid w:val="00816350"/>
    <w:rsid w:val="00836A73"/>
    <w:rsid w:val="00840DC7"/>
    <w:rsid w:val="008471D9"/>
    <w:rsid w:val="008626C9"/>
    <w:rsid w:val="00874AD8"/>
    <w:rsid w:val="00877FB8"/>
    <w:rsid w:val="00884201"/>
    <w:rsid w:val="00884A2C"/>
    <w:rsid w:val="008A6203"/>
    <w:rsid w:val="008E01F5"/>
    <w:rsid w:val="008F1E13"/>
    <w:rsid w:val="00902E1E"/>
    <w:rsid w:val="009072BA"/>
    <w:rsid w:val="00916339"/>
    <w:rsid w:val="00925B49"/>
    <w:rsid w:val="00955B1D"/>
    <w:rsid w:val="00963AB4"/>
    <w:rsid w:val="009805AF"/>
    <w:rsid w:val="00990C06"/>
    <w:rsid w:val="00991EC2"/>
    <w:rsid w:val="00994D35"/>
    <w:rsid w:val="00997787"/>
    <w:rsid w:val="009B1C45"/>
    <w:rsid w:val="009F06FE"/>
    <w:rsid w:val="00A30E1C"/>
    <w:rsid w:val="00A47CAE"/>
    <w:rsid w:val="00A67438"/>
    <w:rsid w:val="00A9217F"/>
    <w:rsid w:val="00AC5372"/>
    <w:rsid w:val="00AD593B"/>
    <w:rsid w:val="00B248C0"/>
    <w:rsid w:val="00B572EB"/>
    <w:rsid w:val="00B72C0A"/>
    <w:rsid w:val="00B7496E"/>
    <w:rsid w:val="00B76CCF"/>
    <w:rsid w:val="00BF21C6"/>
    <w:rsid w:val="00C0158E"/>
    <w:rsid w:val="00C13054"/>
    <w:rsid w:val="00C20FA2"/>
    <w:rsid w:val="00C4403F"/>
    <w:rsid w:val="00C544B0"/>
    <w:rsid w:val="00C56CD4"/>
    <w:rsid w:val="00C73B63"/>
    <w:rsid w:val="00C867E7"/>
    <w:rsid w:val="00CF36EB"/>
    <w:rsid w:val="00D119DB"/>
    <w:rsid w:val="00D13A6E"/>
    <w:rsid w:val="00D47C1A"/>
    <w:rsid w:val="00D5367E"/>
    <w:rsid w:val="00D61529"/>
    <w:rsid w:val="00D6361D"/>
    <w:rsid w:val="00D93A2F"/>
    <w:rsid w:val="00D96714"/>
    <w:rsid w:val="00DA7182"/>
    <w:rsid w:val="00DB3BB4"/>
    <w:rsid w:val="00DC7950"/>
    <w:rsid w:val="00E0745F"/>
    <w:rsid w:val="00E12321"/>
    <w:rsid w:val="00E138B4"/>
    <w:rsid w:val="00E2230F"/>
    <w:rsid w:val="00E30105"/>
    <w:rsid w:val="00E43782"/>
    <w:rsid w:val="00E61680"/>
    <w:rsid w:val="00EC49A7"/>
    <w:rsid w:val="00EE2B30"/>
    <w:rsid w:val="00EE64EC"/>
    <w:rsid w:val="00EE7547"/>
    <w:rsid w:val="00EF305C"/>
    <w:rsid w:val="00F01231"/>
    <w:rsid w:val="00F147D9"/>
    <w:rsid w:val="00F22228"/>
    <w:rsid w:val="00F34C8E"/>
    <w:rsid w:val="00F57C6E"/>
    <w:rsid w:val="00F60FF4"/>
    <w:rsid w:val="00F733D7"/>
    <w:rsid w:val="00F835E0"/>
    <w:rsid w:val="00FA30CC"/>
    <w:rsid w:val="00FB3C93"/>
    <w:rsid w:val="00FD134D"/>
    <w:rsid w:val="00FD25C8"/>
    <w:rsid w:val="00FE323B"/>
    <w:rsid w:val="01CC1A40"/>
    <w:rsid w:val="02201D8C"/>
    <w:rsid w:val="03A32C74"/>
    <w:rsid w:val="077C5CB6"/>
    <w:rsid w:val="0F582B65"/>
    <w:rsid w:val="12371157"/>
    <w:rsid w:val="24C73138"/>
    <w:rsid w:val="26DC3C24"/>
    <w:rsid w:val="27DF1C1D"/>
    <w:rsid w:val="29AB6B74"/>
    <w:rsid w:val="2FE36023"/>
    <w:rsid w:val="3F7E149D"/>
    <w:rsid w:val="42ED2FE9"/>
    <w:rsid w:val="4AF75521"/>
    <w:rsid w:val="4FA3633E"/>
    <w:rsid w:val="53037A15"/>
    <w:rsid w:val="5B5B3832"/>
    <w:rsid w:val="5F702B80"/>
    <w:rsid w:val="64794284"/>
    <w:rsid w:val="64CC6AAA"/>
    <w:rsid w:val="71174C57"/>
    <w:rsid w:val="72D82ABE"/>
    <w:rsid w:val="75022465"/>
    <w:rsid w:val="7552152F"/>
    <w:rsid w:val="76836E67"/>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4"/>
    <w:autoRedefine/>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8"/>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29"/>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autoRedefine/>
    <w:unhideWhenUsed/>
    <w:qFormat/>
    <w:uiPriority w:val="9"/>
    <w:pPr>
      <w:keepNext/>
      <w:keepLines/>
      <w:spacing w:before="280" w:after="290" w:line="376" w:lineRule="auto"/>
      <w:outlineLvl w:val="4"/>
    </w:pPr>
    <w:rPr>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1"/>
    <w:semiHidden/>
    <w:unhideWhenUsed/>
    <w:qFormat/>
    <w:uiPriority w:val="99"/>
  </w:style>
  <w:style w:type="paragraph" w:styleId="8">
    <w:name w:val="Body Text"/>
    <w:basedOn w:val="1"/>
    <w:link w:val="22"/>
    <w:autoRedefine/>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rPr>
      <w:rFonts w:ascii="Times New Roman" w:hAnsi="Times New Roman"/>
    </w:rPr>
  </w:style>
  <w:style w:type="paragraph" w:styleId="10">
    <w:name w:val="Date"/>
    <w:basedOn w:val="1"/>
    <w:next w:val="1"/>
    <w:link w:val="25"/>
    <w:semiHidden/>
    <w:unhideWhenUsed/>
    <w:qFormat/>
    <w:uiPriority w:val="99"/>
    <w:pPr>
      <w:ind w:left="100" w:leftChars="2500"/>
    </w:pPr>
  </w:style>
  <w:style w:type="paragraph" w:styleId="11">
    <w:name w:val="endnote text"/>
    <w:basedOn w:val="1"/>
    <w:link w:val="33"/>
    <w:autoRedefine/>
    <w:semiHidden/>
    <w:unhideWhenUsed/>
    <w:qFormat/>
    <w:uiPriority w:val="99"/>
    <w:pPr>
      <w:snapToGrid w:val="0"/>
    </w:pPr>
  </w:style>
  <w:style w:type="paragraph" w:styleId="12">
    <w:name w:val="footer"/>
    <w:basedOn w:val="1"/>
    <w:link w:val="35"/>
    <w:unhideWhenUsed/>
    <w:uiPriority w:val="99"/>
    <w:pPr>
      <w:tabs>
        <w:tab w:val="center" w:pos="4153"/>
        <w:tab w:val="right" w:pos="8306"/>
      </w:tabs>
      <w:snapToGrid w:val="0"/>
    </w:pPr>
    <w:rPr>
      <w:sz w:val="18"/>
      <w:szCs w:val="18"/>
    </w:rPr>
  </w:style>
  <w:style w:type="paragraph" w:styleId="13">
    <w:name w:val="header"/>
    <w:basedOn w:val="1"/>
    <w:link w:val="34"/>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rPr>
      <w:rFonts w:ascii="Times New Roman" w:hAnsi="Times New Roman"/>
    </w:rPr>
  </w:style>
  <w:style w:type="paragraph" w:styleId="15">
    <w:name w:val="toc 2"/>
    <w:basedOn w:val="1"/>
    <w:next w:val="1"/>
    <w:unhideWhenUsed/>
    <w:qFormat/>
    <w:uiPriority w:val="39"/>
    <w:pPr>
      <w:ind w:left="420" w:leftChars="200"/>
    </w:pPr>
    <w:rPr>
      <w:rFonts w:ascii="Times New Roman" w:hAnsi="Times New Roman"/>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autoRedefine/>
    <w:semiHidden/>
    <w:unhideWhenUsed/>
    <w:uiPriority w:val="99"/>
    <w:rPr>
      <w:vertAlign w:val="superscript"/>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正文文本 字符"/>
    <w:basedOn w:val="18"/>
    <w:link w:val="8"/>
    <w:semiHidden/>
    <w:qFormat/>
    <w:uiPriority w:val="99"/>
    <w:rPr>
      <w:rFonts w:ascii="宋体" w:hAnsi="宋体" w:eastAsia="宋体" w:cs="宋体"/>
      <w:kern w:val="0"/>
      <w:sz w:val="24"/>
      <w:szCs w:val="24"/>
    </w:rPr>
  </w:style>
  <w:style w:type="paragraph" w:customStyle="1" w:styleId="23">
    <w:name w:val="11"/>
    <w:basedOn w:val="1"/>
    <w:semiHidden/>
    <w:qFormat/>
    <w:uiPriority w:val="99"/>
    <w:pPr>
      <w:spacing w:before="100" w:beforeAutospacing="1" w:after="100" w:afterAutospacing="1"/>
    </w:pPr>
  </w:style>
  <w:style w:type="character" w:customStyle="1" w:styleId="24">
    <w:name w:val="标题 1 字符"/>
    <w:basedOn w:val="18"/>
    <w:link w:val="2"/>
    <w:qFormat/>
    <w:uiPriority w:val="9"/>
    <w:rPr>
      <w:b/>
      <w:bCs/>
      <w:kern w:val="44"/>
      <w:sz w:val="44"/>
      <w:szCs w:val="44"/>
    </w:rPr>
  </w:style>
  <w:style w:type="character" w:customStyle="1" w:styleId="25">
    <w:name w:val="日期 字符"/>
    <w:basedOn w:val="18"/>
    <w:link w:val="10"/>
    <w:semiHidden/>
    <w:qFormat/>
    <w:uiPriority w:val="99"/>
    <w:rPr>
      <w:rFonts w:ascii="宋体" w:hAnsi="宋体" w:eastAsia="宋体" w:cs="宋体"/>
      <w:kern w:val="0"/>
      <w:sz w:val="24"/>
      <w:szCs w:val="24"/>
    </w:rPr>
  </w:style>
  <w:style w:type="paragraph" w:customStyle="1" w:styleId="26">
    <w:name w:val="21"/>
    <w:basedOn w:val="1"/>
    <w:autoRedefine/>
    <w:semiHidden/>
    <w:qFormat/>
    <w:uiPriority w:val="99"/>
    <w:pPr>
      <w:spacing w:before="100" w:beforeAutospacing="1" w:after="100" w:afterAutospacing="1"/>
    </w:pPr>
  </w:style>
  <w:style w:type="paragraph" w:customStyle="1" w:styleId="27">
    <w:name w:val="tableparagraph"/>
    <w:basedOn w:val="1"/>
    <w:semiHidden/>
    <w:qFormat/>
    <w:uiPriority w:val="99"/>
    <w:pPr>
      <w:spacing w:before="100" w:beforeAutospacing="1" w:after="100" w:afterAutospacing="1"/>
    </w:pPr>
  </w:style>
  <w:style w:type="character" w:customStyle="1" w:styleId="28">
    <w:name w:val="标题 2 字符"/>
    <w:basedOn w:val="18"/>
    <w:link w:val="3"/>
    <w:qFormat/>
    <w:uiPriority w:val="9"/>
    <w:rPr>
      <w:rFonts w:ascii="Cambria" w:hAnsi="Cambria" w:eastAsia="宋体" w:cs="Times New Roman"/>
      <w:b/>
      <w:bCs/>
      <w:sz w:val="32"/>
      <w:szCs w:val="32"/>
    </w:rPr>
  </w:style>
  <w:style w:type="character" w:customStyle="1" w:styleId="29">
    <w:name w:val="标题 3 字符"/>
    <w:basedOn w:val="18"/>
    <w:link w:val="4"/>
    <w:qFormat/>
    <w:uiPriority w:val="9"/>
    <w:rPr>
      <w:b/>
      <w:bCs/>
      <w:sz w:val="32"/>
      <w:szCs w:val="32"/>
    </w:rPr>
  </w:style>
  <w:style w:type="character" w:customStyle="1" w:styleId="30">
    <w:name w:val="标题 4 字符"/>
    <w:basedOn w:val="18"/>
    <w:link w:val="5"/>
    <w:qFormat/>
    <w:uiPriority w:val="9"/>
    <w:rPr>
      <w:rFonts w:asciiTheme="majorHAnsi" w:hAnsiTheme="majorHAnsi" w:eastAsiaTheme="majorEastAsia" w:cstheme="majorBidi"/>
      <w:b/>
      <w:bCs/>
      <w:kern w:val="0"/>
      <w:sz w:val="28"/>
      <w:szCs w:val="28"/>
    </w:rPr>
  </w:style>
  <w:style w:type="character" w:customStyle="1" w:styleId="31">
    <w:name w:val="批注文字 字符"/>
    <w:basedOn w:val="18"/>
    <w:link w:val="7"/>
    <w:semiHidden/>
    <w:qFormat/>
    <w:uiPriority w:val="99"/>
    <w:rPr>
      <w:rFonts w:ascii="宋体" w:hAnsi="宋体" w:eastAsia="宋体" w:cs="宋体"/>
      <w:kern w:val="0"/>
      <w:sz w:val="24"/>
      <w:szCs w:val="24"/>
    </w:rPr>
  </w:style>
  <w:style w:type="character" w:customStyle="1" w:styleId="32">
    <w:name w:val="标题 5 字符"/>
    <w:basedOn w:val="18"/>
    <w:link w:val="6"/>
    <w:autoRedefine/>
    <w:qFormat/>
    <w:uiPriority w:val="9"/>
    <w:rPr>
      <w:rFonts w:ascii="宋体" w:hAnsi="宋体" w:eastAsia="宋体" w:cs="宋体"/>
      <w:b/>
      <w:bCs/>
      <w:kern w:val="0"/>
      <w:sz w:val="28"/>
      <w:szCs w:val="28"/>
    </w:rPr>
  </w:style>
  <w:style w:type="character" w:customStyle="1" w:styleId="33">
    <w:name w:val="尾注文本 字符"/>
    <w:basedOn w:val="18"/>
    <w:link w:val="11"/>
    <w:autoRedefine/>
    <w:semiHidden/>
    <w:qFormat/>
    <w:uiPriority w:val="99"/>
    <w:rPr>
      <w:rFonts w:ascii="宋体" w:hAnsi="宋体" w:eastAsia="宋体" w:cs="宋体"/>
      <w:sz w:val="24"/>
      <w:szCs w:val="24"/>
    </w:rPr>
  </w:style>
  <w:style w:type="character" w:customStyle="1" w:styleId="34">
    <w:name w:val="页眉 字符"/>
    <w:basedOn w:val="18"/>
    <w:link w:val="13"/>
    <w:uiPriority w:val="99"/>
    <w:rPr>
      <w:rFonts w:ascii="宋体" w:hAnsi="宋体" w:eastAsia="宋体" w:cs="宋体"/>
      <w:sz w:val="18"/>
      <w:szCs w:val="18"/>
    </w:rPr>
  </w:style>
  <w:style w:type="character" w:customStyle="1" w:styleId="35">
    <w:name w:val="页脚 字符"/>
    <w:basedOn w:val="18"/>
    <w:link w:val="12"/>
    <w:autoRedefine/>
    <w:uiPriority w:val="99"/>
    <w:rPr>
      <w:rFonts w:ascii="宋体" w:hAnsi="宋体" w:eastAsia="宋体" w:cs="宋体"/>
      <w:sz w:val="18"/>
      <w:szCs w:val="18"/>
    </w:rPr>
  </w:style>
  <w:style w:type="paragraph" w:customStyle="1" w:styleId="36">
    <w:name w:val="S图表标题"/>
    <w:basedOn w:val="1"/>
    <w:autoRedefine/>
    <w:qFormat/>
    <w:uiPriority w:val="0"/>
    <w:pPr>
      <w:spacing w:before="50" w:beforeLines="50" w:after="50" w:afterLines="50"/>
      <w:jc w:val="center"/>
      <w:outlineLvl w:val="4"/>
    </w:pPr>
    <w:rPr>
      <w:rFonts w:ascii="Times New Roman" w:hAnsi="Times New Roman" w:eastAsia="黑体" w:cs="Times New Roman"/>
      <w:sz w:val="21"/>
      <w:szCs w:val="21"/>
    </w:rPr>
  </w:style>
  <w:style w:type="paragraph" w:customStyle="1" w:styleId="37">
    <w:name w:val="S正文"/>
    <w:basedOn w:val="1"/>
    <w:autoRedefine/>
    <w:qFormat/>
    <w:uiPriority w:val="0"/>
    <w:pPr>
      <w:widowControl w:val="0"/>
      <w:spacing w:before="249" w:beforeLines="80" w:after="120" w:line="360" w:lineRule="auto"/>
      <w:ind w:firstLine="560" w:firstLineChars="200"/>
      <w:contextualSpacing/>
      <w:jc w:val="both"/>
    </w:pPr>
    <w:rPr>
      <w:rFonts w:ascii="Times New Roman" w:hAnsi="Times New Roman" w:eastAsia="仿宋" w:cs="Calibri"/>
      <w:kern w:val="2"/>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3512</Words>
  <Characters>20024</Characters>
  <Lines>166</Lines>
  <Paragraphs>46</Paragraphs>
  <TotalTime>9</TotalTime>
  <ScaleCrop>false</ScaleCrop>
  <LinksUpToDate>false</LinksUpToDate>
  <CharactersWithSpaces>23490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2023-03-04T03:05:00Z</dcterms:created>
  <dc:creator>Lifan Zheng</dc:creator>
  <cp:lastModifiedBy>唐小霸</cp:lastModifiedBy>
  <dcterms:modified xsi:type="dcterms:W3CDTF">2024-03-08T01:59:44Z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253F8DEF0FCE412588BE2B678558630B_12</vt:lpwstr>
  </property>
</Properties>
</file>