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5C" w:rsidRDefault="0027435C" w:rsidP="0027435C">
      <w:pPr>
        <w:pStyle w:val="a3"/>
        <w:spacing w:afterLines="0" w:after="0" w:line="360" w:lineRule="auto"/>
        <w:jc w:val="distribute"/>
        <w:rPr>
          <w:rFonts w:asciiTheme="majorEastAsia" w:eastAsiaTheme="majorEastAsia" w:hAnsiTheme="majorEastAsia" w:cstheme="majorEastAsia"/>
          <w:sz w:val="72"/>
          <w:szCs w:val="72"/>
        </w:rPr>
      </w:pPr>
      <w:r>
        <w:rPr>
          <w:rFonts w:asciiTheme="majorEastAsia" w:eastAsiaTheme="majorEastAsia" w:hAnsiTheme="majorEastAsia" w:cstheme="majorEastAsia" w:hint="eastAsia"/>
          <w:sz w:val="72"/>
          <w:szCs w:val="72"/>
        </w:rPr>
        <w:t>管 理 学 院 文 件</w:t>
      </w:r>
    </w:p>
    <w:p w:rsidR="0027435C" w:rsidRDefault="0027435C" w:rsidP="0027435C">
      <w:pPr>
        <w:pStyle w:val="a4"/>
        <w:adjustRightInd w:val="0"/>
        <w:snapToGrid w:val="0"/>
        <w:spacing w:line="360" w:lineRule="auto"/>
        <w:rPr>
          <w:b/>
          <w:bCs/>
        </w:rPr>
      </w:pPr>
      <w:proofErr w:type="gramStart"/>
      <w:r>
        <w:rPr>
          <w:rFonts w:ascii="Times New Roman" w:hAnsi="Times New Roman" w:hint="eastAsia"/>
        </w:rPr>
        <w:t>管院教</w:t>
      </w:r>
      <w:proofErr w:type="gramEnd"/>
      <w:r>
        <w:rPr>
          <w:rFonts w:ascii="Times New Roman" w:hAnsi="Times New Roman" w:hint="eastAsia"/>
        </w:rPr>
        <w:t>〔</w:t>
      </w:r>
      <w:r>
        <w:rPr>
          <w:rFonts w:ascii="Times New Roman" w:hAnsi="Times New Roman" w:hint="eastAsia"/>
        </w:rPr>
        <w:t>2023</w:t>
      </w:r>
      <w:r>
        <w:rPr>
          <w:rFonts w:ascii="Times New Roman" w:hAnsi="Times New Roman" w:hint="eastAsia"/>
        </w:rPr>
        <w:t>〕</w:t>
      </w:r>
      <w:r>
        <w:rPr>
          <w:rFonts w:ascii="Times New Roman" w:hAnsi="Times New Roman"/>
        </w:rPr>
        <w:t>8</w:t>
      </w:r>
      <w:r>
        <w:rPr>
          <w:rFonts w:ascii="Times New Roman" w:hAnsi="Times New Roman" w:hint="eastAsia"/>
        </w:rPr>
        <w:t>号</w:t>
      </w:r>
    </w:p>
    <w:p w:rsidR="0027435C" w:rsidRDefault="0027435C" w:rsidP="0027435C">
      <w:pPr>
        <w:adjustRightInd w:val="0"/>
        <w:snapToGrid w:val="0"/>
        <w:spacing w:line="360" w:lineRule="auto"/>
        <w:rPr>
          <w:rFonts w:ascii="Times New Roman" w:eastAsia="黑体" w:hAnsi="Times New Roman" w:cs="仿宋_GB2312"/>
          <w:bCs/>
          <w:kern w:val="0"/>
          <w:sz w:val="32"/>
          <w:szCs w:val="32"/>
          <w:lang w:eastAsia="zh-TW"/>
        </w:rPr>
      </w:pPr>
    </w:p>
    <w:p w:rsidR="0027435C" w:rsidRDefault="0027435C" w:rsidP="0027435C">
      <w:pPr>
        <w:pStyle w:val="1"/>
        <w:adjustRightInd w:val="0"/>
        <w:snapToGrid w:val="0"/>
        <w:spacing w:before="0"/>
        <w:rPr>
          <w:rStyle w:val="1Char"/>
          <w:rFonts w:ascii="仿宋" w:eastAsia="仿宋" w:hAnsi="仿宋" w:cs="仿宋"/>
          <w:b/>
          <w:bCs/>
          <w:sz w:val="36"/>
          <w:szCs w:val="36"/>
          <w:lang w:val="zh-TW" w:eastAsia="zh-TW"/>
        </w:rPr>
      </w:pPr>
      <w:bookmarkStart w:id="0" w:name="_Toc141976331"/>
      <w:bookmarkStart w:id="1" w:name="_GoBack"/>
      <w:r>
        <w:rPr>
          <w:rStyle w:val="1Char"/>
          <w:rFonts w:ascii="仿宋" w:eastAsia="仿宋" w:hAnsi="仿宋" w:cs="仿宋" w:hint="eastAsia"/>
          <w:sz w:val="36"/>
          <w:szCs w:val="36"/>
          <w:lang w:val="zh-TW" w:eastAsia="zh-TW"/>
        </w:rPr>
        <w:t>管理学院青年教师带教导师制的实施办法</w:t>
      </w:r>
      <w:bookmarkEnd w:id="0"/>
      <w:bookmarkEnd w:id="1"/>
    </w:p>
    <w:p w:rsidR="0027435C" w:rsidRDefault="0027435C" w:rsidP="0027435C">
      <w:pPr>
        <w:adjustRightInd w:val="0"/>
        <w:snapToGrid w:val="0"/>
        <w:spacing w:line="360" w:lineRule="auto"/>
        <w:jc w:val="center"/>
        <w:rPr>
          <w:rFonts w:ascii="仿宋" w:eastAsia="仿宋" w:hAnsi="仿宋" w:cs="仿宋"/>
          <w:sz w:val="28"/>
          <w:szCs w:val="28"/>
          <w:lang w:val="zh-TW" w:eastAsia="zh-TW"/>
        </w:rPr>
      </w:pPr>
      <w:r>
        <w:rPr>
          <w:rFonts w:ascii="仿宋" w:eastAsia="仿宋" w:hAnsi="仿宋" w:cs="仿宋" w:hint="eastAsia"/>
          <w:sz w:val="28"/>
          <w:szCs w:val="28"/>
          <w:lang w:val="zh-TW" w:eastAsia="zh-TW"/>
        </w:rPr>
        <w:t>第一章  总 则</w:t>
      </w:r>
    </w:p>
    <w:p w:rsidR="0027435C" w:rsidRDefault="0027435C" w:rsidP="0027435C">
      <w:pPr>
        <w:adjustRightInd w:val="0"/>
        <w:snapToGrid w:val="0"/>
        <w:spacing w:line="360" w:lineRule="auto"/>
        <w:ind w:firstLine="545"/>
        <w:rPr>
          <w:rFonts w:ascii="仿宋" w:eastAsia="仿宋" w:hAnsi="仿宋" w:cs="仿宋"/>
          <w:sz w:val="28"/>
          <w:szCs w:val="28"/>
          <w:lang w:val="zh-TW" w:eastAsia="zh-TW"/>
        </w:rPr>
      </w:pPr>
      <w:r>
        <w:rPr>
          <w:rFonts w:ascii="仿宋" w:eastAsia="仿宋" w:hAnsi="仿宋" w:cs="仿宋" w:hint="eastAsia"/>
          <w:sz w:val="28"/>
          <w:szCs w:val="28"/>
          <w:lang w:val="zh-TW" w:eastAsia="zh-TW"/>
        </w:rPr>
        <w:t>第一条</w:t>
      </w: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为了使学院青年教师尽快适应和熟悉高等学校的教育教学和科研工作，为青年教师的顺利成长奠定良好的基础，在总结既往工作的基础上，特制定本办法。</w:t>
      </w:r>
    </w:p>
    <w:p w:rsidR="0027435C" w:rsidRDefault="0027435C" w:rsidP="0027435C">
      <w:pPr>
        <w:adjustRightInd w:val="0"/>
        <w:snapToGrid w:val="0"/>
        <w:spacing w:line="360" w:lineRule="auto"/>
        <w:ind w:firstLine="545"/>
        <w:rPr>
          <w:rFonts w:ascii="仿宋" w:eastAsia="仿宋" w:hAnsi="仿宋" w:cs="仿宋"/>
          <w:sz w:val="28"/>
          <w:szCs w:val="28"/>
          <w:lang w:val="zh-TW" w:eastAsia="zh-TW"/>
        </w:rPr>
      </w:pPr>
      <w:r>
        <w:rPr>
          <w:rFonts w:ascii="仿宋" w:eastAsia="仿宋" w:hAnsi="仿宋" w:cs="仿宋" w:hint="eastAsia"/>
          <w:sz w:val="28"/>
          <w:szCs w:val="28"/>
          <w:lang w:val="zh-TW" w:eastAsia="zh-TW"/>
        </w:rPr>
        <w:t>第二条</w:t>
      </w: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青年教师导师制，是由学院（系、室）指派学术造诣高、教学科研经验丰富的优秀教师担任青年教师的导师，充分发挥他们的传、帮、带作用，对青年教师进行指导和培养，使其尽快达到学校教育教学的要求。</w:t>
      </w:r>
    </w:p>
    <w:p w:rsidR="0027435C" w:rsidRDefault="0027435C" w:rsidP="0027435C">
      <w:pPr>
        <w:adjustRightInd w:val="0"/>
        <w:snapToGrid w:val="0"/>
        <w:spacing w:line="360" w:lineRule="auto"/>
        <w:ind w:firstLine="545"/>
        <w:rPr>
          <w:rFonts w:ascii="仿宋" w:eastAsia="仿宋" w:hAnsi="仿宋" w:cs="仿宋"/>
          <w:sz w:val="28"/>
          <w:szCs w:val="28"/>
          <w:lang w:val="zh-TW" w:eastAsia="zh-TW"/>
        </w:rPr>
      </w:pPr>
      <w:r>
        <w:rPr>
          <w:rFonts w:ascii="仿宋" w:eastAsia="仿宋" w:hAnsi="仿宋" w:cs="仿宋" w:hint="eastAsia"/>
          <w:sz w:val="28"/>
          <w:szCs w:val="28"/>
          <w:lang w:val="zh-TW" w:eastAsia="zh-TW"/>
        </w:rPr>
        <w:t>第三条</w:t>
      </w: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青年教师导师制是师资队伍建设的一项重要基础性工作，各系（室）要重视和加强对青年教师培养工作的领导，切实落实青年教师导师制度，并以此作为系、室考核工作的重要指标之一。</w:t>
      </w:r>
    </w:p>
    <w:p w:rsidR="0027435C" w:rsidRDefault="0027435C" w:rsidP="0027435C">
      <w:pPr>
        <w:adjustRightInd w:val="0"/>
        <w:snapToGrid w:val="0"/>
        <w:spacing w:line="360" w:lineRule="auto"/>
        <w:ind w:left="544" w:right="1344" w:firstLine="2047"/>
        <w:rPr>
          <w:rFonts w:ascii="仿宋" w:eastAsia="仿宋" w:hAnsi="仿宋" w:cs="仿宋"/>
          <w:sz w:val="28"/>
          <w:szCs w:val="28"/>
          <w:lang w:val="zh-TW" w:eastAsia="zh-TW"/>
        </w:rPr>
      </w:pPr>
      <w:r>
        <w:rPr>
          <w:rFonts w:ascii="仿宋" w:eastAsia="仿宋" w:hAnsi="仿宋" w:cs="仿宋" w:hint="eastAsia"/>
          <w:sz w:val="28"/>
          <w:szCs w:val="28"/>
          <w:lang w:val="zh-TW" w:eastAsia="zh-TW"/>
        </w:rPr>
        <w:t>第二章</w:t>
      </w: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青年教师的培养范围</w:t>
      </w:r>
    </w:p>
    <w:p w:rsidR="0027435C" w:rsidRDefault="0027435C" w:rsidP="0027435C">
      <w:pPr>
        <w:adjustRightInd w:val="0"/>
        <w:snapToGrid w:val="0"/>
        <w:spacing w:line="360" w:lineRule="auto"/>
        <w:ind w:firstLine="545"/>
        <w:rPr>
          <w:rFonts w:ascii="仿宋" w:eastAsia="仿宋" w:hAnsi="仿宋" w:cs="仿宋"/>
          <w:sz w:val="28"/>
          <w:szCs w:val="28"/>
          <w:lang w:val="zh-TW" w:eastAsia="zh-TW"/>
        </w:rPr>
      </w:pPr>
      <w:r>
        <w:rPr>
          <w:rFonts w:ascii="仿宋" w:eastAsia="仿宋" w:hAnsi="仿宋" w:cs="仿宋" w:hint="eastAsia"/>
          <w:sz w:val="28"/>
          <w:szCs w:val="28"/>
          <w:lang w:val="zh-TW" w:eastAsia="zh-TW"/>
        </w:rPr>
        <w:t>第四条</w:t>
      </w: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专任教师中符合下列情形之一者：</w:t>
      </w:r>
    </w:p>
    <w:p w:rsidR="0027435C" w:rsidRDefault="0027435C" w:rsidP="0027435C">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一</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新进校的各类毕业生；</w:t>
      </w:r>
    </w:p>
    <w:p w:rsidR="0027435C" w:rsidRDefault="0027435C" w:rsidP="0027435C">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二</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从事高校教学工作不满3年；</w:t>
      </w:r>
    </w:p>
    <w:p w:rsidR="0027435C" w:rsidRDefault="0027435C" w:rsidP="0027435C">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三</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未取得高校教师系列中级及以上职称；</w:t>
      </w:r>
    </w:p>
    <w:p w:rsidR="0027435C" w:rsidRDefault="0027435C" w:rsidP="0027435C">
      <w:pPr>
        <w:adjustRightInd w:val="0"/>
        <w:snapToGrid w:val="0"/>
        <w:spacing w:line="360" w:lineRule="auto"/>
        <w:ind w:firstLineChars="200" w:firstLine="560"/>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四</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其他经人事处、教务处及所在学院共同确定需要接受指导的专任教师。</w:t>
      </w:r>
    </w:p>
    <w:p w:rsidR="0027435C" w:rsidRDefault="0027435C" w:rsidP="0027435C">
      <w:pPr>
        <w:adjustRightInd w:val="0"/>
        <w:snapToGrid w:val="0"/>
        <w:spacing w:line="360" w:lineRule="auto"/>
        <w:jc w:val="center"/>
        <w:rPr>
          <w:rFonts w:ascii="仿宋" w:eastAsia="仿宋" w:hAnsi="仿宋" w:cs="仿宋"/>
          <w:sz w:val="28"/>
          <w:szCs w:val="28"/>
          <w:lang w:val="zh-TW" w:eastAsia="zh-TW"/>
        </w:rPr>
      </w:pPr>
      <w:r>
        <w:rPr>
          <w:rFonts w:ascii="仿宋" w:eastAsia="仿宋" w:hAnsi="仿宋" w:cs="仿宋" w:hint="eastAsia"/>
          <w:sz w:val="28"/>
          <w:szCs w:val="28"/>
          <w:lang w:val="zh-TW" w:eastAsia="zh-TW"/>
        </w:rPr>
        <w:t>第三章  青年教师的培养要求</w:t>
      </w:r>
    </w:p>
    <w:p w:rsidR="0027435C" w:rsidRDefault="0027435C" w:rsidP="0027435C">
      <w:pPr>
        <w:adjustRightInd w:val="0"/>
        <w:snapToGrid w:val="0"/>
        <w:spacing w:line="360" w:lineRule="auto"/>
        <w:ind w:firstLine="545"/>
        <w:rPr>
          <w:rFonts w:ascii="仿宋" w:eastAsia="仿宋" w:hAnsi="仿宋" w:cs="仿宋"/>
          <w:sz w:val="28"/>
          <w:szCs w:val="28"/>
          <w:lang w:val="zh-TW" w:eastAsia="zh-TW"/>
        </w:rPr>
      </w:pPr>
      <w:r>
        <w:rPr>
          <w:rFonts w:ascii="仿宋" w:eastAsia="仿宋" w:hAnsi="仿宋" w:cs="仿宋" w:hint="eastAsia"/>
          <w:sz w:val="28"/>
          <w:szCs w:val="28"/>
          <w:lang w:val="zh-TW" w:eastAsia="zh-TW"/>
        </w:rPr>
        <w:lastRenderedPageBreak/>
        <w:t>第五条</w:t>
      </w: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青年教师的培养要求</w:t>
      </w:r>
    </w:p>
    <w:p w:rsidR="0027435C" w:rsidRDefault="0027435C" w:rsidP="0027435C">
      <w:pPr>
        <w:adjustRightInd w:val="0"/>
        <w:snapToGrid w:val="0"/>
        <w:spacing w:line="360" w:lineRule="auto"/>
        <w:ind w:firstLine="545"/>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一</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尊重指导教师，虚心求教，积极主动地争取指导教师在思想、业务上的指导，主动向指导教师汇报在教学工作中的思想情况、教学情况和业务进修情况。</w:t>
      </w:r>
    </w:p>
    <w:p w:rsidR="0027435C" w:rsidRDefault="0027435C" w:rsidP="0027435C">
      <w:pPr>
        <w:adjustRightInd w:val="0"/>
        <w:snapToGrid w:val="0"/>
        <w:spacing w:line="360" w:lineRule="auto"/>
        <w:ind w:firstLine="559"/>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二</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认真参加各类教育教学培训，完成导师指定的课程选修、知识学习、科学研究（含教学研究）或实践教学等任务。</w:t>
      </w:r>
    </w:p>
    <w:p w:rsidR="0027435C" w:rsidRDefault="0027435C" w:rsidP="0027435C">
      <w:pPr>
        <w:adjustRightInd w:val="0"/>
        <w:snapToGrid w:val="0"/>
        <w:spacing w:line="360" w:lineRule="auto"/>
        <w:ind w:firstLine="559"/>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三</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在导师指导下，熟悉并掌握教学过程各环节的基本规范和要求，掌握所承担讲授课程的结构和内容，学会根据教学大纲组织教学内容，选定参考教材。</w:t>
      </w:r>
    </w:p>
    <w:p w:rsidR="0027435C" w:rsidRDefault="0027435C" w:rsidP="0027435C">
      <w:pPr>
        <w:adjustRightInd w:val="0"/>
        <w:snapToGrid w:val="0"/>
        <w:spacing w:line="360" w:lineRule="auto"/>
        <w:ind w:firstLine="559"/>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四</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学习导师的教学科研经验，掌握教学科研的方法。每学期旁听导师的课堂教学不少于10学时，并做好听课小结；积极参与导师科研项目、教材编写、课题申报和研究及论文的撰写等。</w:t>
      </w:r>
    </w:p>
    <w:p w:rsidR="0027435C" w:rsidRDefault="0027435C" w:rsidP="0027435C">
      <w:pPr>
        <w:adjustRightInd w:val="0"/>
        <w:snapToGrid w:val="0"/>
        <w:spacing w:line="360" w:lineRule="auto"/>
        <w:ind w:firstLine="559"/>
        <w:rPr>
          <w:rFonts w:ascii="仿宋" w:eastAsia="仿宋" w:hAnsi="仿宋" w:cs="仿宋"/>
          <w:sz w:val="28"/>
          <w:szCs w:val="28"/>
          <w:lang w:val="zh-TW" w:eastAsia="zh-TW"/>
        </w:rPr>
      </w:pPr>
      <w:r>
        <w:rPr>
          <w:rFonts w:ascii="仿宋" w:eastAsia="仿宋" w:hAnsi="仿宋" w:cs="仿宋" w:hint="eastAsia"/>
          <w:sz w:val="28"/>
          <w:szCs w:val="28"/>
          <w:lang w:val="zh-TW" w:eastAsia="zh-TW"/>
        </w:rPr>
        <w:t>第六条</w:t>
      </w: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青年教师接受导师指导和培养的时间一般为1年。</w:t>
      </w:r>
    </w:p>
    <w:p w:rsidR="0027435C" w:rsidRDefault="0027435C" w:rsidP="0027435C">
      <w:pPr>
        <w:adjustRightInd w:val="0"/>
        <w:snapToGrid w:val="0"/>
        <w:spacing w:line="360" w:lineRule="auto"/>
        <w:jc w:val="center"/>
        <w:rPr>
          <w:rFonts w:ascii="仿宋" w:eastAsia="仿宋" w:hAnsi="仿宋" w:cs="仿宋"/>
          <w:sz w:val="28"/>
          <w:szCs w:val="28"/>
          <w:lang w:val="zh-TW" w:eastAsia="zh-TW"/>
        </w:rPr>
      </w:pPr>
      <w:r>
        <w:rPr>
          <w:rFonts w:ascii="仿宋" w:eastAsia="仿宋" w:hAnsi="仿宋" w:cs="仿宋" w:hint="eastAsia"/>
          <w:sz w:val="28"/>
          <w:szCs w:val="28"/>
          <w:lang w:val="zh-TW" w:eastAsia="zh-TW"/>
        </w:rPr>
        <w:t>第四章  指导教师的选任及职责</w:t>
      </w:r>
    </w:p>
    <w:p w:rsidR="0027435C" w:rsidRDefault="0027435C" w:rsidP="0027435C">
      <w:pPr>
        <w:adjustRightInd w:val="0"/>
        <w:snapToGrid w:val="0"/>
        <w:spacing w:line="360" w:lineRule="auto"/>
        <w:ind w:firstLine="559"/>
        <w:rPr>
          <w:rFonts w:ascii="仿宋" w:eastAsia="仿宋" w:hAnsi="仿宋" w:cs="仿宋"/>
          <w:sz w:val="28"/>
          <w:szCs w:val="28"/>
          <w:lang w:val="zh-TW" w:eastAsia="zh-TW"/>
        </w:rPr>
      </w:pPr>
      <w:r>
        <w:rPr>
          <w:rFonts w:ascii="仿宋" w:eastAsia="仿宋" w:hAnsi="仿宋" w:cs="仿宋" w:hint="eastAsia"/>
          <w:sz w:val="28"/>
          <w:szCs w:val="28"/>
          <w:lang w:val="zh-TW" w:eastAsia="zh-TW"/>
        </w:rPr>
        <w:t>第七条</w:t>
      </w: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指导教师应具备的条件：</w:t>
      </w:r>
    </w:p>
    <w:p w:rsidR="0027435C" w:rsidRDefault="0027435C" w:rsidP="0027435C">
      <w:pPr>
        <w:adjustRightInd w:val="0"/>
        <w:snapToGrid w:val="0"/>
        <w:spacing w:line="360" w:lineRule="auto"/>
        <w:ind w:left="559"/>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一</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青年教师的导师，应为在教学科研第一线工作，原则上具有副高以上职称的教师，新兴学科可以适当放宽为中级职称。</w:t>
      </w:r>
    </w:p>
    <w:p w:rsidR="0027435C" w:rsidRDefault="0027435C" w:rsidP="0027435C">
      <w:pPr>
        <w:adjustRightInd w:val="0"/>
        <w:snapToGrid w:val="0"/>
        <w:spacing w:line="360" w:lineRule="auto"/>
        <w:ind w:left="559"/>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二</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坚持党的四项基本原则，忠诚党的教育事业，治学严谨，具有良好的师德风范。</w:t>
      </w:r>
    </w:p>
    <w:p w:rsidR="0027435C" w:rsidRDefault="0027435C" w:rsidP="0027435C">
      <w:pPr>
        <w:adjustRightInd w:val="0"/>
        <w:snapToGrid w:val="0"/>
        <w:spacing w:line="360" w:lineRule="auto"/>
        <w:ind w:left="559"/>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三</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教学经验丰富，教学效果好，学术水平高，科研能力强，有较强的指导能力。</w:t>
      </w:r>
    </w:p>
    <w:p w:rsidR="0027435C" w:rsidRDefault="0027435C" w:rsidP="0027435C">
      <w:pPr>
        <w:adjustRightInd w:val="0"/>
        <w:snapToGrid w:val="0"/>
        <w:spacing w:line="360" w:lineRule="auto"/>
        <w:ind w:left="559"/>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四</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身体健康，能够坚持正常工作。</w:t>
      </w:r>
    </w:p>
    <w:p w:rsidR="0027435C" w:rsidRDefault="0027435C" w:rsidP="0027435C">
      <w:pPr>
        <w:adjustRightInd w:val="0"/>
        <w:snapToGrid w:val="0"/>
        <w:spacing w:line="360" w:lineRule="auto"/>
        <w:ind w:firstLine="559"/>
        <w:rPr>
          <w:rFonts w:ascii="仿宋" w:eastAsia="仿宋" w:hAnsi="仿宋" w:cs="仿宋"/>
          <w:sz w:val="28"/>
          <w:szCs w:val="28"/>
          <w:lang w:val="zh-TW" w:eastAsia="zh-TW"/>
        </w:rPr>
      </w:pPr>
      <w:r>
        <w:rPr>
          <w:rFonts w:ascii="仿宋" w:eastAsia="仿宋" w:hAnsi="仿宋" w:cs="仿宋" w:hint="eastAsia"/>
          <w:sz w:val="28"/>
          <w:szCs w:val="28"/>
          <w:lang w:val="zh-TW" w:eastAsia="zh-TW"/>
        </w:rPr>
        <w:t>第八条</w:t>
      </w: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青年教师导师人选由青年教师所在系（室）提出，经青年教师本人和导师双方同意后，由学院审批备案。</w:t>
      </w:r>
    </w:p>
    <w:p w:rsidR="0027435C" w:rsidRDefault="0027435C" w:rsidP="0027435C">
      <w:pPr>
        <w:adjustRightInd w:val="0"/>
        <w:snapToGrid w:val="0"/>
        <w:spacing w:line="360" w:lineRule="auto"/>
        <w:ind w:firstLine="559"/>
        <w:rPr>
          <w:rFonts w:ascii="仿宋" w:eastAsia="仿宋" w:hAnsi="仿宋" w:cs="仿宋"/>
          <w:sz w:val="28"/>
          <w:szCs w:val="28"/>
          <w:lang w:val="zh-TW" w:eastAsia="zh-TW"/>
        </w:rPr>
      </w:pPr>
      <w:r>
        <w:rPr>
          <w:rFonts w:ascii="仿宋" w:eastAsia="仿宋" w:hAnsi="仿宋" w:cs="仿宋" w:hint="eastAsia"/>
          <w:sz w:val="28"/>
          <w:szCs w:val="28"/>
          <w:lang w:val="zh-TW" w:eastAsia="zh-TW"/>
        </w:rPr>
        <w:t>第九条</w:t>
      </w: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为保证青年教师导师制培养质量，每名指导教师原则上</w:t>
      </w:r>
      <w:r>
        <w:rPr>
          <w:rFonts w:ascii="仿宋" w:eastAsia="仿宋" w:hAnsi="仿宋" w:cs="仿宋" w:hint="eastAsia"/>
          <w:sz w:val="28"/>
          <w:szCs w:val="28"/>
          <w:lang w:val="zh-TW" w:eastAsia="zh-TW"/>
        </w:rPr>
        <w:lastRenderedPageBreak/>
        <w:t>每次指导1名青年教师，特殊情况最多不超过2名。</w:t>
      </w:r>
    </w:p>
    <w:p w:rsidR="0027435C" w:rsidRDefault="0027435C" w:rsidP="0027435C">
      <w:pPr>
        <w:adjustRightInd w:val="0"/>
        <w:snapToGrid w:val="0"/>
        <w:spacing w:line="360" w:lineRule="auto"/>
        <w:ind w:left="554"/>
        <w:rPr>
          <w:rFonts w:ascii="仿宋" w:eastAsia="仿宋" w:hAnsi="仿宋" w:cs="仿宋"/>
          <w:sz w:val="28"/>
          <w:szCs w:val="28"/>
          <w:lang w:val="zh-TW" w:eastAsia="zh-TW"/>
        </w:rPr>
      </w:pPr>
      <w:r>
        <w:rPr>
          <w:rFonts w:ascii="仿宋" w:eastAsia="仿宋" w:hAnsi="仿宋" w:cs="仿宋" w:hint="eastAsia"/>
          <w:sz w:val="28"/>
          <w:szCs w:val="28"/>
          <w:lang w:val="zh-TW" w:eastAsia="zh-TW"/>
        </w:rPr>
        <w:t>第十条</w:t>
      </w: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指导教师的职责</w:t>
      </w:r>
    </w:p>
    <w:p w:rsidR="0027435C" w:rsidRDefault="0027435C" w:rsidP="0027435C">
      <w:pPr>
        <w:adjustRightInd w:val="0"/>
        <w:snapToGrid w:val="0"/>
        <w:spacing w:line="360" w:lineRule="auto"/>
        <w:ind w:firstLine="559"/>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一</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关心青年教师思想修养，通过言传身教帮助青年教师树立正确的世界观、人生观和价值观，帮助青年教师树立崇高的师德，培养青年教师严谨踏实、实事求是的科学态度和爱岗敬业的精神。</w:t>
      </w:r>
    </w:p>
    <w:p w:rsidR="0027435C" w:rsidRDefault="0027435C" w:rsidP="0027435C">
      <w:pPr>
        <w:adjustRightInd w:val="0"/>
        <w:snapToGrid w:val="0"/>
        <w:spacing w:line="360" w:lineRule="auto"/>
        <w:ind w:firstLine="559"/>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二</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根据青年教师的专业方向、知识结构和承担的教学任务，制定青年教师的培养计划，指定进修学习相关的专业知识，从教学方法、讲课技巧及教学工作的各个环节进行指导（包括撰写教案和讲稿、授课、辅导答疑、作业布置与批改、学生的考核与成绩评定及分析，指导实验、实习、毕业论文或设计等），检查青年教师备课，协助选用教材教参，旁听青年教师试讲和课堂讲授情况。</w:t>
      </w:r>
    </w:p>
    <w:p w:rsidR="0027435C" w:rsidRDefault="0027435C" w:rsidP="0027435C">
      <w:pPr>
        <w:adjustRightInd w:val="0"/>
        <w:snapToGrid w:val="0"/>
        <w:spacing w:line="360" w:lineRule="auto"/>
        <w:ind w:firstLine="559"/>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三</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每学期对青年教师进行课堂教学示范不少于10学时，深入青年教师任教的课堂(实验室)听课不少于 10学时。</w:t>
      </w:r>
    </w:p>
    <w:p w:rsidR="0027435C" w:rsidRDefault="0027435C" w:rsidP="0027435C">
      <w:pPr>
        <w:adjustRightInd w:val="0"/>
        <w:snapToGrid w:val="0"/>
        <w:spacing w:line="360" w:lineRule="auto"/>
        <w:ind w:firstLine="559"/>
        <w:rPr>
          <w:rFonts w:ascii="仿宋" w:eastAsia="仿宋" w:hAnsi="仿宋" w:cs="仿宋"/>
          <w:sz w:val="28"/>
          <w:szCs w:val="28"/>
          <w:lang w:val="zh-TW" w:eastAsia="zh-TW"/>
        </w:rPr>
      </w:pPr>
      <w:r>
        <w:rPr>
          <w:rFonts w:ascii="仿宋" w:eastAsia="仿宋" w:hAnsi="仿宋" w:cs="仿宋" w:hint="eastAsia"/>
          <w:sz w:val="28"/>
          <w:szCs w:val="28"/>
          <w:lang w:val="zh-TW"/>
        </w:rPr>
        <w:t>（</w:t>
      </w:r>
      <w:r>
        <w:rPr>
          <w:rFonts w:ascii="仿宋" w:eastAsia="仿宋" w:hAnsi="仿宋" w:cs="仿宋" w:hint="eastAsia"/>
          <w:sz w:val="28"/>
          <w:szCs w:val="28"/>
        </w:rPr>
        <w:t>四</w:t>
      </w:r>
      <w:r>
        <w:rPr>
          <w:rFonts w:ascii="仿宋" w:eastAsia="仿宋" w:hAnsi="仿宋" w:cs="仿宋" w:hint="eastAsia"/>
          <w:sz w:val="28"/>
          <w:szCs w:val="28"/>
          <w:lang w:val="zh-TW"/>
        </w:rPr>
        <w:t>）</w:t>
      </w:r>
      <w:r>
        <w:rPr>
          <w:rFonts w:ascii="仿宋" w:eastAsia="仿宋" w:hAnsi="仿宋" w:cs="仿宋" w:hint="eastAsia"/>
          <w:sz w:val="28"/>
          <w:szCs w:val="28"/>
          <w:lang w:val="zh-TW" w:eastAsia="zh-TW"/>
        </w:rPr>
        <w:t>帮助青年教师全面了解所在学科的科研情况，有针对性地协助青年教师合理选择研究方向，拟定切实可行的科研计划，申请研究课题，正确开展研究（包括教学研究）工作。</w:t>
      </w:r>
    </w:p>
    <w:p w:rsidR="0027435C" w:rsidRDefault="0027435C" w:rsidP="0027435C">
      <w:pPr>
        <w:adjustRightInd w:val="0"/>
        <w:snapToGrid w:val="0"/>
        <w:spacing w:line="360" w:lineRule="auto"/>
        <w:ind w:left="-15" w:right="124" w:firstLine="549"/>
        <w:rPr>
          <w:rFonts w:ascii="仿宋" w:eastAsia="仿宋" w:hAnsi="仿宋" w:cs="仿宋"/>
          <w:sz w:val="28"/>
          <w:szCs w:val="28"/>
          <w:lang w:val="zh-TW" w:eastAsia="zh-TW"/>
        </w:rPr>
      </w:pPr>
      <w:r>
        <w:rPr>
          <w:rFonts w:ascii="仿宋" w:eastAsia="仿宋" w:hAnsi="仿宋" w:cs="仿宋" w:hint="eastAsia"/>
          <w:sz w:val="28"/>
          <w:szCs w:val="28"/>
          <w:lang w:val="zh-TW" w:eastAsia="zh-TW"/>
        </w:rPr>
        <w:t>第十一条</w:t>
      </w: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指导青年教师是高年资教师的应尽职责。导师的指导工作质量及青年教师的教学状况将作为教师考核、职称评聘的重要依据之一。</w:t>
      </w:r>
    </w:p>
    <w:p w:rsidR="00421970" w:rsidRDefault="0027435C" w:rsidP="0027435C">
      <w:r>
        <w:rPr>
          <w:rFonts w:ascii="仿宋" w:eastAsia="仿宋" w:hAnsi="仿宋" w:cs="仿宋" w:hint="eastAsia"/>
          <w:sz w:val="28"/>
          <w:szCs w:val="28"/>
          <w:lang w:val="zh-TW" w:eastAsia="zh-TW"/>
        </w:rPr>
        <w:t>第十二条</w:t>
      </w: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本办法自发布之日起执行，由管理学院负责解释。</w:t>
      </w:r>
    </w:p>
    <w:sectPr w:rsidR="004219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5C"/>
    <w:rsid w:val="0027435C"/>
    <w:rsid w:val="00421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5C"/>
    <w:pPr>
      <w:widowControl w:val="0"/>
      <w:jc w:val="both"/>
    </w:pPr>
    <w:rPr>
      <w:rFonts w:ascii="Calibri" w:eastAsia="宋体" w:hAnsi="Calibri" w:cs="Times New Roman"/>
    </w:rPr>
  </w:style>
  <w:style w:type="paragraph" w:styleId="1">
    <w:name w:val="heading 1"/>
    <w:basedOn w:val="a"/>
    <w:next w:val="a"/>
    <w:link w:val="1Char"/>
    <w:uiPriority w:val="9"/>
    <w:qFormat/>
    <w:rsid w:val="0027435C"/>
    <w:pPr>
      <w:keepNext/>
      <w:keepLines/>
      <w:spacing w:before="160" w:line="360" w:lineRule="auto"/>
      <w:jc w:val="center"/>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7435C"/>
    <w:rPr>
      <w:rFonts w:ascii="Calibri" w:eastAsia="黑体" w:hAnsi="Calibri" w:cs="Times New Roman"/>
      <w:b/>
      <w:bCs/>
      <w:kern w:val="44"/>
      <w:sz w:val="32"/>
      <w:szCs w:val="44"/>
    </w:rPr>
  </w:style>
  <w:style w:type="paragraph" w:customStyle="1" w:styleId="a3">
    <w:name w:val="发文机关"/>
    <w:qFormat/>
    <w:rsid w:val="0027435C"/>
    <w:pPr>
      <w:adjustRightInd w:val="0"/>
      <w:snapToGrid w:val="0"/>
      <w:spacing w:afterLines="200" w:after="624"/>
      <w:jc w:val="center"/>
    </w:pPr>
    <w:rPr>
      <w:rFonts w:ascii="Calibri" w:eastAsia="宋体" w:hAnsi="Calibri" w:cs="Times New Roman"/>
      <w:b/>
      <w:color w:val="FF0000"/>
      <w:w w:val="60"/>
      <w:sz w:val="130"/>
      <w:szCs w:val="130"/>
    </w:rPr>
  </w:style>
  <w:style w:type="paragraph" w:customStyle="1" w:styleId="a4">
    <w:name w:val="发文字号"/>
    <w:qFormat/>
    <w:rsid w:val="0027435C"/>
    <w:pPr>
      <w:pBdr>
        <w:bottom w:val="single" w:sz="18" w:space="1" w:color="FF0000"/>
      </w:pBdr>
      <w:jc w:val="center"/>
    </w:pPr>
    <w:rPr>
      <w:rFonts w:ascii="Calibri" w:eastAsia="仿宋" w:hAnsi="Calibri" w:cs="Times New Roman"/>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5C"/>
    <w:pPr>
      <w:widowControl w:val="0"/>
      <w:jc w:val="both"/>
    </w:pPr>
    <w:rPr>
      <w:rFonts w:ascii="Calibri" w:eastAsia="宋体" w:hAnsi="Calibri" w:cs="Times New Roman"/>
    </w:rPr>
  </w:style>
  <w:style w:type="paragraph" w:styleId="1">
    <w:name w:val="heading 1"/>
    <w:basedOn w:val="a"/>
    <w:next w:val="a"/>
    <w:link w:val="1Char"/>
    <w:uiPriority w:val="9"/>
    <w:qFormat/>
    <w:rsid w:val="0027435C"/>
    <w:pPr>
      <w:keepNext/>
      <w:keepLines/>
      <w:spacing w:before="160" w:line="360" w:lineRule="auto"/>
      <w:jc w:val="center"/>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7435C"/>
    <w:rPr>
      <w:rFonts w:ascii="Calibri" w:eastAsia="黑体" w:hAnsi="Calibri" w:cs="Times New Roman"/>
      <w:b/>
      <w:bCs/>
      <w:kern w:val="44"/>
      <w:sz w:val="32"/>
      <w:szCs w:val="44"/>
    </w:rPr>
  </w:style>
  <w:style w:type="paragraph" w:customStyle="1" w:styleId="a3">
    <w:name w:val="发文机关"/>
    <w:qFormat/>
    <w:rsid w:val="0027435C"/>
    <w:pPr>
      <w:adjustRightInd w:val="0"/>
      <w:snapToGrid w:val="0"/>
      <w:spacing w:afterLines="200" w:after="624"/>
      <w:jc w:val="center"/>
    </w:pPr>
    <w:rPr>
      <w:rFonts w:ascii="Calibri" w:eastAsia="宋体" w:hAnsi="Calibri" w:cs="Times New Roman"/>
      <w:b/>
      <w:color w:val="FF0000"/>
      <w:w w:val="60"/>
      <w:sz w:val="130"/>
      <w:szCs w:val="130"/>
    </w:rPr>
  </w:style>
  <w:style w:type="paragraph" w:customStyle="1" w:styleId="a4">
    <w:name w:val="发文字号"/>
    <w:qFormat/>
    <w:rsid w:val="0027435C"/>
    <w:pPr>
      <w:pBdr>
        <w:bottom w:val="single" w:sz="18" w:space="1" w:color="FF0000"/>
      </w:pBdr>
      <w:jc w:val="center"/>
    </w:pPr>
    <w:rPr>
      <w:rFonts w:ascii="Calibri" w:eastAsia="仿宋" w:hAnsi="Calibri" w:cs="Times New Roman"/>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1330</Characters>
  <Application>Microsoft Office Word</Application>
  <DocSecurity>0</DocSecurity>
  <Lines>11</Lines>
  <Paragraphs>3</Paragraphs>
  <ScaleCrop>false</ScaleCrop>
  <Company>微软用户</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丁绪武</dc:creator>
  <cp:lastModifiedBy>丁绪武</cp:lastModifiedBy>
  <cp:revision>1</cp:revision>
  <dcterms:created xsi:type="dcterms:W3CDTF">2023-09-13T02:58:00Z</dcterms:created>
  <dcterms:modified xsi:type="dcterms:W3CDTF">2023-09-13T02:58:00Z</dcterms:modified>
</cp:coreProperties>
</file>